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EA6BA" w14:textId="1ED0D39D" w:rsidR="001774A8" w:rsidRDefault="00B42A84" w:rsidP="00B77777">
      <w:pPr>
        <w:pStyle w:val="SAGEEPtitle"/>
      </w:pPr>
      <w:r>
        <w:t>A Combined electromagnetic induction-magnetometer sensing approach for detecting subsurface targets</w:t>
      </w:r>
    </w:p>
    <w:p w14:paraId="5DB32651" w14:textId="65F5E0DC" w:rsidR="00F73898" w:rsidRPr="00F73898" w:rsidRDefault="00F73898">
      <w:pPr>
        <w:pStyle w:val="SAGEEPauthors"/>
      </w:pPr>
      <w:r w:rsidRPr="00F73898">
        <w:t>Ma</w:t>
      </w:r>
      <w:r w:rsidRPr="00C64F53">
        <w:t>x</w:t>
      </w:r>
      <w:r w:rsidRPr="00F73898">
        <w:t xml:space="preserve"> Orman-Koll</w:t>
      </w:r>
      <w:r w:rsidRPr="00C64F53">
        <w:t>mar, Dartmouth Co</w:t>
      </w:r>
      <w:r>
        <w:t>llege, Hanover, NH, USA</w:t>
      </w:r>
      <w:r w:rsidR="00A355F4" w:rsidRPr="00F73898">
        <w:br/>
      </w:r>
      <w:r>
        <w:t>Randall Reynolds, Dartmouth College, Hanover, NH, USA</w:t>
      </w:r>
      <w:r w:rsidRPr="00F73898">
        <w:t xml:space="preserve"> </w:t>
      </w:r>
      <w:r w:rsidRPr="00B81A8E">
        <w:br/>
      </w:r>
      <w:r>
        <w:t>Rui Zhang, Geometrics Inc., San Jose, CA, US,</w:t>
      </w:r>
      <w:r w:rsidRPr="00F73898">
        <w:t xml:space="preserve"> </w:t>
      </w:r>
      <w:r w:rsidR="00A355F4" w:rsidRPr="00F73898">
        <w:br/>
      </w:r>
      <w:r>
        <w:t>Benjamin Barrowes, Cold Regions Research and Engineering Laboratory, Hanover, NH, USA</w:t>
      </w:r>
      <w:r w:rsidRPr="00B81A8E">
        <w:br/>
      </w:r>
      <w:r>
        <w:t>Fridon Shubitidze, Dartmouth College, Hanover, NH, USA</w:t>
      </w:r>
    </w:p>
    <w:p w14:paraId="26996A9C" w14:textId="77777777" w:rsidR="001774A8" w:rsidRDefault="001774A8">
      <w:pPr>
        <w:pStyle w:val="SAGEEPheading"/>
      </w:pPr>
      <w:r>
        <w:t>Abstract</w:t>
      </w:r>
    </w:p>
    <w:p w14:paraId="669BA37C" w14:textId="31AD0716" w:rsidR="003F0C8B" w:rsidRDefault="00A444E2" w:rsidP="004B0FBD">
      <w:pPr>
        <w:pStyle w:val="SAGEEPtext"/>
      </w:pPr>
      <w:r>
        <w:t>This</w:t>
      </w:r>
      <w:r w:rsidR="00321CE5">
        <w:t xml:space="preserve"> </w:t>
      </w:r>
      <w:r>
        <w:t xml:space="preserve">work </w:t>
      </w:r>
      <w:r w:rsidR="00321CE5">
        <w:t xml:space="preserve">presents </w:t>
      </w:r>
      <w:r w:rsidR="003646D1">
        <w:t>a joint application of a magnetometer and a time-domain electromagnetic induction sens</w:t>
      </w:r>
      <w:r w:rsidR="008C6E00">
        <w:t>or</w:t>
      </w:r>
      <w:r w:rsidR="005310FD">
        <w:t xml:space="preserve"> for </w:t>
      </w:r>
      <w:r w:rsidR="00CF7C1E">
        <w:t>detecting, localiz</w:t>
      </w:r>
      <w:r w:rsidR="00C64F53">
        <w:t>ing</w:t>
      </w:r>
      <w:r w:rsidR="00CF7C1E">
        <w:t>, and identifying deep targets</w:t>
      </w:r>
      <w:r w:rsidR="008C6E00">
        <w:t xml:space="preserve">. </w:t>
      </w:r>
      <w:r w:rsidR="00CF7C1E">
        <w:t xml:space="preserve">By combining these sensors, the aim is to use a magnetometer for recording transient magnetic fields at late times, while employing </w:t>
      </w:r>
      <w:r w:rsidR="00287B73">
        <w:t xml:space="preserve">Time Domain Electromagnetic Induction (TDEMI) </w:t>
      </w:r>
      <w:r w:rsidR="00CF7C1E">
        <w:t>sensing at early times</w:t>
      </w:r>
      <w:r w:rsidR="00A86CFA">
        <w:t>,</w:t>
      </w:r>
      <w:r w:rsidR="00CF7C1E">
        <w:t xml:space="preserve"> to detect both ferrous and non-ferrous materials.</w:t>
      </w:r>
      <w:r w:rsidR="00EE5CAA">
        <w:t xml:space="preserve"> </w:t>
      </w:r>
      <w:r w:rsidR="002E3FD9">
        <w:t>Although</w:t>
      </w:r>
      <w:r w:rsidR="00287B73">
        <w:t xml:space="preserve"> magnetometers are widely used to sense the Earth's magnetic field and its disturbances caused by ferrous anomalies, this study employs an active TDEMI transmitter to illuminate subsurface metallic targets from various </w:t>
      </w:r>
      <w:r w:rsidR="00B74179">
        <w:t>orientations</w:t>
      </w:r>
      <w:r w:rsidR="00287B73">
        <w:t xml:space="preserve"> and angles.  </w:t>
      </w:r>
      <w:r w:rsidR="00C90EE5">
        <w:t xml:space="preserve">The preliminary measured EMI and magnetometer data are </w:t>
      </w:r>
      <w:r w:rsidR="002B7A9E">
        <w:t xml:space="preserve">demonstrated </w:t>
      </w:r>
      <w:r w:rsidR="00C90EE5">
        <w:t xml:space="preserve">for aluminum, brass, and steel medium-sized </w:t>
      </w:r>
      <w:r w:rsidR="002B7A9E">
        <w:t>industry-standard</w:t>
      </w:r>
      <w:r w:rsidR="00C90EE5">
        <w:t xml:space="preserve"> pipes.</w:t>
      </w:r>
    </w:p>
    <w:p w14:paraId="7BDBAA74" w14:textId="77777777" w:rsidR="001774A8" w:rsidRDefault="001774A8">
      <w:pPr>
        <w:pStyle w:val="SAGEEPtext"/>
      </w:pPr>
    </w:p>
    <w:p w14:paraId="35271F40" w14:textId="0F76CFFB" w:rsidR="00E271A0" w:rsidRDefault="00F05023" w:rsidP="00E271A0">
      <w:pPr>
        <w:pStyle w:val="SAGEEPheading"/>
      </w:pPr>
      <w:r>
        <w:t>Introduction</w:t>
      </w:r>
    </w:p>
    <w:p w14:paraId="0CA01A44" w14:textId="72E7C311" w:rsidR="003C3C57" w:rsidRDefault="005B6098" w:rsidP="003C3C57">
      <w:pPr>
        <w:ind w:firstLine="720"/>
      </w:pPr>
      <w:r>
        <w:t xml:space="preserve">Detecting </w:t>
      </w:r>
      <w:r w:rsidR="004F63BE">
        <w:t xml:space="preserve">and identifying </w:t>
      </w:r>
      <w:r>
        <w:t>subsurface a</w:t>
      </w:r>
      <w:r w:rsidR="006876E2">
        <w:t>nomalies is an enduring problem, whether the target of the search is underground infrastructure, compact manmade objects</w:t>
      </w:r>
      <w:r w:rsidR="00CC06CB">
        <w:t xml:space="preserve"> </w:t>
      </w:r>
      <w:r w:rsidR="00CC06CB">
        <w:fldChar w:fldCharType="begin"/>
      </w:r>
      <w:r w:rsidR="00CC06CB">
        <w:instrText xml:space="preserve"> ADDIN ZOTERO_ITEM CSL_CITATION {"citationID":"ewVuvvET","properties":{"formattedCitation":"(Pei and Yeo 2009)","plainCitation":"(Pei and Yeo 2009)","noteIndex":0},"citationItems":[{"id":81,"uris":["http://zotero.org/users/13351600/items/NZ3T8423"],"itemData":{"id":81,"type":"paper-conference","abstract":"Vector magnetic gradiometer measures the gradient components of ferromagnetic objects and with appropriate processing, such as inversion, is possible to derive the range, bearing and magnetic moment of the target of interests. This paper presents the progress of the development of magnetic gradiometer using autonomous underwater vehicle (AUV) for UXO survey. A prototype magnetic gradiometer was developed for magnetic detection of underwater objects onboard an AUV. The prototype magnetic gradiometer is housed in a plastic nose cone of consisting of four fluxgate magnetometers. Rotation calibration is performed to correct offset, scaling and axis orientation errors of magnetometers with reference of a scalar magnetometer. The performance of magnetic noise compensation is evaluated with simulated magnetic noise sources, typically present in an AUV. Experimental tests have been conducted using a 3-axis rotation table to simulate motions to evaluate the performance of the magnetic gradiometer for mobile operation. This paper also discusses an iterative searching approach to determine the object detection range, bearing and magnetic moments by magnetic gradients matching with a volume magnetization model.","container-title":"OCEANS 2009","DOI":"10.23919/OCEANS.2009.5422446","event-place":"Biloxi, MS","event-title":"OCEANS 2009","ISBN":"978-1-4244-4960-6","language":"en","page":"1-8","publisher":"IEEE","publisher-place":"Biloxi, MS","source":"DOI.org (Crossref)","title":"UXO survey using vector magnetic gradiometer on autonomous underwater vehicle","URL":"https://ieeexplore.ieee.org/document/5422446/","author":[{"family":"Pei","given":"Y. H."},{"family":"Yeo","given":"H. G."}],"accessed":{"date-parts":[["2024",4,19]]},"issued":{"date-parts":[["2009",10]]}}}],"schema":"https://github.com/citation-style-language/schema/raw/master/csl-citation.json"} </w:instrText>
      </w:r>
      <w:r w:rsidR="00CC06CB">
        <w:fldChar w:fldCharType="separate"/>
      </w:r>
      <w:r w:rsidR="00CC06CB" w:rsidRPr="00CC06CB">
        <w:t>(Pei and Yeo 2009)</w:t>
      </w:r>
      <w:r w:rsidR="00CC06CB">
        <w:fldChar w:fldCharType="end"/>
      </w:r>
      <w:r w:rsidR="00140154">
        <w:t>;</w:t>
      </w:r>
      <w:r w:rsidR="006876E2">
        <w:t xml:space="preserve"> or even mineral deposits</w:t>
      </w:r>
      <w:r w:rsidR="00CC06CB">
        <w:t xml:space="preserve"> </w:t>
      </w:r>
      <w:r w:rsidR="00CC06CB">
        <w:fldChar w:fldCharType="begin"/>
      </w:r>
      <w:r w:rsidR="00CC06CB">
        <w:instrText xml:space="preserve"> ADDIN ZOTERO_ITEM CSL_CITATION {"citationID":"SfWyRKQx","properties":{"formattedCitation":"(Kowalczyk 2011)","plainCitation":"(Kowalczyk 2011)","noteIndex":0},"citationItems":[{"id":87,"uris":["http://zotero.org/users/13351600/items/CUGGGHLI"],"itemData":{"id":87,"type":"paper-conference","abstract":"Geophysical exploration for Submarine Massive Sulfide (SMS) deposits is evolving rapidly from an ad hoc process dependent upon the visual mapping of deposits using Remotely Operated Vehicles (ROVs) to a systematic process of precision bathymetric mapping, magnetic mapping, and electromagnetic mapping using Autonomous Underwater Vehicles (AUVs) and ROVs. This change is driven by a desire for efficiency in a commercial environment. The exploration for SMS deposits has moved from the academic realm to that of commercial exploration and exploitation. Exploration for SMS deposits is becoming routine, with exploration companies refining their methods as they gather experience. The necessary geophysical equipment and processing methods have been proven to be both efficient and reliable during multiple exploration campaigns.","container-title":"OCEANS'11 MTS/IEEE KONA","DOI":"10.23919/OCEANS.2011.6107069","event-place":"Waikoloa, HI","event-title":"OCEANS 2011","ISBN":"978-1-4577-1427-6","language":"en","page":"1-5","publisher":"IEEE","publisher-place":"Waikoloa, HI","source":"DOI.org (Crossref)","title":"Geophysical exploration for Submarine Massive Sulfide deposits","URL":"http://ieeexplore.ieee.org/document/6107069/","author":[{"family":"Kowalczyk","given":"Peter"}],"accessed":{"date-parts":[["2024",4,19]]},"issued":{"date-parts":[["2011",9]]}}}],"schema":"https://github.com/citation-style-language/schema/raw/master/csl-citation.json"} </w:instrText>
      </w:r>
      <w:r w:rsidR="00CC06CB">
        <w:fldChar w:fldCharType="separate"/>
      </w:r>
      <w:r w:rsidR="00CC06CB" w:rsidRPr="00CC06CB">
        <w:t>(Kowalczyk 2011)</w:t>
      </w:r>
      <w:r w:rsidR="00CC06CB">
        <w:fldChar w:fldCharType="end"/>
      </w:r>
      <w:r w:rsidR="00B92872">
        <w:t xml:space="preserve">. </w:t>
      </w:r>
      <w:r w:rsidR="00140154">
        <w:t xml:space="preserve">While advanced EMI sensors and innovative signal processing techniques have shown excellent performance in the detection, localization, and classification of near-surface targets (approximately 11 times the target's diameter), a more robust sensing approach is still needed </w:t>
      </w:r>
      <w:r w:rsidR="00C56037">
        <w:t>for detecting and classifying deeper targets. One possible approach involve</w:t>
      </w:r>
      <w:r w:rsidR="00326848">
        <w:t>s</w:t>
      </w:r>
      <w:r w:rsidR="00C56037">
        <w:t xml:space="preserve"> combining active EMI with state-of-the-art fast sampling magnetometers. </w:t>
      </w:r>
    </w:p>
    <w:p w14:paraId="2CE2E940" w14:textId="77777777" w:rsidR="00B53E07" w:rsidRDefault="00B53E07" w:rsidP="003C3C57">
      <w:pPr>
        <w:ind w:firstLine="720"/>
      </w:pPr>
    </w:p>
    <w:p w14:paraId="2B6CA636" w14:textId="0C4D8B06" w:rsidR="003C3C57" w:rsidRDefault="005914A3" w:rsidP="003C3C57">
      <w:pPr>
        <w:ind w:firstLine="720"/>
      </w:pPr>
      <w:r>
        <w:t xml:space="preserve">Time-domain electromagnetic induction (TDEMI) </w:t>
      </w:r>
      <w:r w:rsidR="00A22224" w:rsidRPr="00E61BEE">
        <w:t xml:space="preserve">systems typically are comprised of both active and passive coils and operate at frequencies typically under 100kHz. The active, or transmitter, coils produce a </w:t>
      </w:r>
      <w:r w:rsidR="00675115">
        <w:t xml:space="preserve">pulsed </w:t>
      </w:r>
      <w:r w:rsidR="00A22224" w:rsidRPr="00E61BEE">
        <w:t xml:space="preserve">primary magnetic field when a </w:t>
      </w:r>
      <w:r w:rsidR="004C2E84">
        <w:t xml:space="preserve">pulsed </w:t>
      </w:r>
      <w:r w:rsidR="00A22224" w:rsidRPr="00E61BEE">
        <w:t>current is run through them. The primary magnetic field then penetrates the ground, where it decays away if no conducting targets are present. In the presence of conducting targets, however, the primary magnetic field induces eddy currents in the target, which then create a secondary magnetic field. This secondary field then passes through the receiver coils and generates</w:t>
      </w:r>
      <w:r w:rsidR="00A22224">
        <w:t xml:space="preserve"> data in the form of sampled</w:t>
      </w:r>
      <w:r w:rsidR="00A22224" w:rsidRPr="00E61BEE">
        <w:t xml:space="preserve"> electromotive force (voltage).</w:t>
      </w:r>
      <w:r w:rsidR="00B53E07">
        <w:t xml:space="preserve"> </w:t>
      </w:r>
    </w:p>
    <w:p w14:paraId="10E16B37" w14:textId="652334CB" w:rsidR="0008491C" w:rsidRDefault="000E58D6" w:rsidP="003C3C57">
      <w:pPr>
        <w:ind w:firstLine="720"/>
      </w:pPr>
      <w:r>
        <w:t xml:space="preserve">There are two </w:t>
      </w:r>
      <w:r w:rsidR="0043525C">
        <w:t xml:space="preserve">difficulties </w:t>
      </w:r>
      <w:r>
        <w:t xml:space="preserve">presented by utilizing </w:t>
      </w:r>
      <w:r w:rsidR="0043525C">
        <w:t xml:space="preserve">a TDEMI system, particularly for the deep target problem. </w:t>
      </w:r>
      <w:r w:rsidR="00912F4B">
        <w:t xml:space="preserve">The first issue is the </w:t>
      </w:r>
      <w:r w:rsidR="00B21807">
        <w:t>saturation from the primary field</w:t>
      </w:r>
      <w:r w:rsidR="00D12585">
        <w:t xml:space="preserve"> in the receivers. </w:t>
      </w:r>
      <w:r w:rsidR="000263BA">
        <w:t xml:space="preserve">The primary field generated needs time to </w:t>
      </w:r>
      <w:r w:rsidR="00EF1B7C">
        <w:t>collapse, and until it has fully decayed away, the early time</w:t>
      </w:r>
      <w:r w:rsidR="00140154">
        <w:t xml:space="preserve">s </w:t>
      </w:r>
      <w:r w:rsidR="004D08EF">
        <w:t xml:space="preserve">data </w:t>
      </w:r>
      <w:r w:rsidR="00EF1B7C">
        <w:t>seen by the receivers</w:t>
      </w:r>
      <w:r w:rsidR="004D08EF">
        <w:t xml:space="preserve"> is not reliable </w:t>
      </w:r>
      <w:r w:rsidR="00460DBA">
        <w:t xml:space="preserve">for target detection </w:t>
      </w:r>
      <w:r w:rsidR="002E3FD9">
        <w:t>and</w:t>
      </w:r>
      <w:r w:rsidR="00460DBA">
        <w:t xml:space="preserve"> discrimination. </w:t>
      </w:r>
      <w:r w:rsidR="00A126FA">
        <w:t xml:space="preserve">This issue is a hardware problem, as it requires the generated current pulse to shut on and off quickly, as well as having a low enough inductance in the transmitter coils to </w:t>
      </w:r>
      <w:r w:rsidR="00D2410E">
        <w:t xml:space="preserve">allow </w:t>
      </w:r>
      <w:r w:rsidR="00A126FA">
        <w:t xml:space="preserve">the primary field </w:t>
      </w:r>
      <w:r w:rsidR="00D2410E">
        <w:t>to dissipate quickly</w:t>
      </w:r>
      <w:r w:rsidR="00A126FA">
        <w:t>.</w:t>
      </w:r>
    </w:p>
    <w:p w14:paraId="39C7A993" w14:textId="1E9CB8A4" w:rsidR="00B21807" w:rsidRDefault="009D1867" w:rsidP="00705B9C">
      <w:pPr>
        <w:ind w:firstLine="720"/>
      </w:pPr>
      <w:r>
        <w:t xml:space="preserve">The second issue </w:t>
      </w:r>
      <w:r w:rsidR="00755BA2">
        <w:t>complicating deep target detection with a TDEMI system is the signal</w:t>
      </w:r>
      <w:r w:rsidR="00CE08E6">
        <w:t>’s</w:t>
      </w:r>
      <w:r w:rsidR="00755BA2">
        <w:t xml:space="preserve"> </w:t>
      </w:r>
      <w:r w:rsidR="002E3FD9">
        <w:t xml:space="preserve">fast </w:t>
      </w:r>
      <w:r w:rsidR="00755BA2">
        <w:t>decay</w:t>
      </w:r>
      <w:r w:rsidR="002E3FD9">
        <w:t xml:space="preserve"> </w:t>
      </w:r>
      <w:r w:rsidR="00755BA2">
        <w:t>at late times.</w:t>
      </w:r>
      <w:r w:rsidR="00144AAC" w:rsidRPr="00144AAC">
        <w:t xml:space="preserve"> </w:t>
      </w:r>
      <w:r w:rsidR="00144AAC" w:rsidRPr="00E61BEE">
        <w:t>EMI suffers from</w:t>
      </w:r>
      <w:r w:rsidR="0012779F">
        <w:t xml:space="preserve"> a</w:t>
      </w:r>
      <w:r w:rsidR="00144AAC" w:rsidRPr="00E61BEE">
        <w:t xml:space="preserve"> “weak” detection depth, as the secondary magnetic field produced </w:t>
      </w:r>
      <w:r w:rsidR="00144AAC" w:rsidRPr="00E61BEE">
        <w:lastRenderedPageBreak/>
        <w:t>decays as 1/R</w:t>
      </w:r>
      <w:r w:rsidR="00144AAC" w:rsidRPr="00E61BEE">
        <w:rPr>
          <w:vertAlign w:val="superscript"/>
        </w:rPr>
        <w:t>5</w:t>
      </w:r>
      <w:r w:rsidR="00144AAC" w:rsidRPr="00E61BEE">
        <w:t xml:space="preserve"> or 1/R</w:t>
      </w:r>
      <w:r w:rsidR="00144AAC" w:rsidRPr="00E61BEE">
        <w:rPr>
          <w:vertAlign w:val="superscript"/>
        </w:rPr>
        <w:t>6</w:t>
      </w:r>
      <w:r w:rsidR="00144AAC" w:rsidRPr="00E61BEE">
        <w:t>, with R being the distance from the target to the receiver coils</w:t>
      </w:r>
      <w:r w:rsidR="00144AAC">
        <w:t xml:space="preserve"> </w:t>
      </w:r>
      <w:r w:rsidR="00144AAC">
        <w:fldChar w:fldCharType="begin"/>
      </w:r>
      <w:r w:rsidR="00144AAC">
        <w:instrText xml:space="preserve"> ADDIN ZOTERO_ITEM CSL_CITATION {"citationID":"rnJXleuo","properties":{"formattedCitation":"(Jackson 1999)","plainCitation":"(Jackson 1999)","noteIndex":0},"citationItems":[{"id":1013,"uris":["http://zotero.org/groups/5745723/items/SXU6SXBS"],"itemData":{"id":1013,"type":"book","edition":"3rd","event-place":"New York","publisher":"John Willey &amp; Sons","publisher-place":"New York","title":"Classical Electrodynamics","author":[{"family":"Jackson","given":"J. D."}],"issued":{"date-parts":[["1999"]]}}}],"schema":"https://github.com/citation-style-language/schema/raw/master/csl-citation.json"} </w:instrText>
      </w:r>
      <w:r w:rsidR="00144AAC">
        <w:fldChar w:fldCharType="separate"/>
      </w:r>
      <w:r w:rsidR="00144AAC" w:rsidRPr="00D10F22">
        <w:t>(Jackson 1999)</w:t>
      </w:r>
      <w:r w:rsidR="00144AAC">
        <w:fldChar w:fldCharType="end"/>
      </w:r>
      <w:r w:rsidR="00144AAC" w:rsidRPr="00E61BEE">
        <w:t>.</w:t>
      </w:r>
      <w:r w:rsidR="006A034D">
        <w:t xml:space="preserve"> </w:t>
      </w:r>
      <w:r w:rsidR="00C75434">
        <w:t xml:space="preserve">The further away the </w:t>
      </w:r>
      <w:r w:rsidR="002E3FD9">
        <w:t xml:space="preserve">target </w:t>
      </w:r>
      <w:r w:rsidR="00C75434">
        <w:t xml:space="preserve">is from the </w:t>
      </w:r>
      <w:r w:rsidR="002E3FD9">
        <w:t>system</w:t>
      </w:r>
      <w:r w:rsidR="00C75434">
        <w:t xml:space="preserve">, the </w:t>
      </w:r>
      <w:r w:rsidR="00F83B4D">
        <w:t>faster the secondary magnetic signal decays</w:t>
      </w:r>
      <w:r w:rsidR="002E3FD9">
        <w:t xml:space="preserve"> at the receivers</w:t>
      </w:r>
      <w:r w:rsidR="00F83B4D">
        <w:t xml:space="preserve">. </w:t>
      </w:r>
      <w:r w:rsidR="00910240">
        <w:t xml:space="preserve">As a result, </w:t>
      </w:r>
      <w:r w:rsidR="004D1400">
        <w:t>late</w:t>
      </w:r>
      <w:r w:rsidR="000F5C01">
        <w:t>r</w:t>
      </w:r>
      <w:r w:rsidR="004D1400">
        <w:t xml:space="preserve"> time signals</w:t>
      </w:r>
      <w:r w:rsidR="00910240">
        <w:t xml:space="preserve"> </w:t>
      </w:r>
      <w:r w:rsidR="00A211A1">
        <w:t xml:space="preserve">are </w:t>
      </w:r>
      <w:r w:rsidR="004D1400">
        <w:t>difficult</w:t>
      </w:r>
      <w:r w:rsidR="000749A8">
        <w:t xml:space="preserve"> to distinguish from background </w:t>
      </w:r>
      <w:r w:rsidR="006D2077">
        <w:t>noise</w:t>
      </w:r>
      <w:r w:rsidR="000F5C01">
        <w:t xml:space="preserve">. </w:t>
      </w:r>
      <w:r w:rsidR="001F59F1">
        <w:t xml:space="preserve">This problem is directly tied to </w:t>
      </w:r>
      <w:r w:rsidR="000531D9">
        <w:t>the physics of electromagnetic signals</w:t>
      </w:r>
      <w:r w:rsidR="00A33DE6">
        <w:t xml:space="preserve"> and is difficult to overcome.</w:t>
      </w:r>
      <w:r w:rsidR="000F5C01">
        <w:t xml:space="preserve"> Th</w:t>
      </w:r>
      <w:r w:rsidR="00AB405B">
        <w:t>is</w:t>
      </w:r>
      <w:r w:rsidR="000F5C01">
        <w:t xml:space="preserve"> combination of early time</w:t>
      </w:r>
      <w:r w:rsidR="00C56037">
        <w:t xml:space="preserve"> </w:t>
      </w:r>
      <w:r w:rsidR="000F5C01">
        <w:t xml:space="preserve">saturation and late time </w:t>
      </w:r>
      <w:r w:rsidR="00140154">
        <w:t>decays</w:t>
      </w:r>
      <w:r w:rsidR="000F5C01">
        <w:t xml:space="preserve"> make deep target detection and classification a particular challenge for TDEMI systems.</w:t>
      </w:r>
    </w:p>
    <w:p w14:paraId="3FE29A59" w14:textId="77777777" w:rsidR="00705B9C" w:rsidRPr="004E7B6D" w:rsidRDefault="00705B9C" w:rsidP="00AE11DF"/>
    <w:p w14:paraId="040BD168" w14:textId="58C2A3B7" w:rsidR="00016964" w:rsidRDefault="00D10F22" w:rsidP="00774EF9">
      <w:pPr>
        <w:widowControl w:val="0"/>
        <w:autoSpaceDE w:val="0"/>
        <w:autoSpaceDN w:val="0"/>
        <w:adjustRightInd w:val="0"/>
        <w:ind w:firstLine="720"/>
      </w:pPr>
      <w:r>
        <w:t>Magnetometers</w:t>
      </w:r>
      <w:r w:rsidR="00DC608E">
        <w:t>, in contrast,</w:t>
      </w:r>
      <w:r>
        <w:t xml:space="preserve"> are passive sensors that measure magnetic fields</w:t>
      </w:r>
      <w:r w:rsidR="00CD228E">
        <w:t>,</w:t>
      </w:r>
      <w:r w:rsidR="00693768">
        <w:t xml:space="preserve"> </w:t>
      </w:r>
      <w:r w:rsidR="00CD228E">
        <w:t>and</w:t>
      </w:r>
      <w:r w:rsidR="00AB4DE7">
        <w:t xml:space="preserve"> are often used to measure the </w:t>
      </w:r>
      <w:r w:rsidR="004851AD">
        <w:t>E</w:t>
      </w:r>
      <w:r w:rsidR="00AB4DE7">
        <w:t>arth’s magnetic field and perturbations therein</w:t>
      </w:r>
      <w:r>
        <w:t xml:space="preserve">. </w:t>
      </w:r>
      <w:r w:rsidR="00C71071">
        <w:t>Use case</w:t>
      </w:r>
      <w:r w:rsidR="00DA341B">
        <w:t>s</w:t>
      </w:r>
      <w:r w:rsidR="00C71071">
        <w:t xml:space="preserve"> include</w:t>
      </w:r>
      <w:r>
        <w:t xml:space="preserve"> detecting and locating </w:t>
      </w:r>
      <w:r w:rsidR="00693768">
        <w:t xml:space="preserve">small, isolated </w:t>
      </w:r>
      <w:r>
        <w:t xml:space="preserve">ferrous targets </w:t>
      </w:r>
      <w:r>
        <w:fldChar w:fldCharType="begin"/>
      </w:r>
      <w:r>
        <w:instrText xml:space="preserve"> ADDIN ZOTERO_ITEM CSL_CITATION {"citationID":"QqjsqexX","properties":{"formattedCitation":"(Pei and Yeo 2009)","plainCitation":"(Pei and Yeo 2009)","noteIndex":0},"citationItems":[{"id":81,"uris":["http://zotero.org/users/13351600/items/NZ3T8423"],"itemData":{"id":81,"type":"paper-conference","abstract":"Vector magnetic gradiometer measures the gradient components of ferromagnetic objects and with appropriate processing, such as inversion, is possible to derive the range, bearing and magnetic moment of the target of interests. This paper presents the progress of the development of magnetic gradiometer using autonomous underwater vehicle (AUV) for UXO survey. A prototype magnetic gradiometer was developed for magnetic detection of underwater objects onboard an AUV. The prototype magnetic gradiometer is housed in a plastic nose cone of consisting of four fluxgate magnetometers. Rotation calibration is performed to correct offset, scaling and axis orientation errors of magnetometers with reference of a scalar magnetometer. The performance of magnetic noise compensation is evaluated with simulated magnetic noise sources, typically present in an AUV. Experimental tests have been conducted using a 3-axis rotation table to simulate motions to evaluate the performance of the magnetic gradiometer for mobile operation. This paper also discusses an iterative searching approach to determine the object detection range, bearing and magnetic moments by magnetic gradients matching with a volume magnetization model.","container-title":"OCEANS 2009","DOI":"10.23919/OCEANS.2009.5422446","event-place":"Biloxi, MS","event-title":"OCEANS 2009","ISBN":"978-1-4244-4960-6","language":"en","page":"1-8","publisher":"IEEE","publisher-place":"Biloxi, MS","source":"DOI.org (Crossref)","title":"UXO survey using vector magnetic gradiometer on autonomous underwater vehicle","URL":"https://ieeexplore.ieee.org/document/5422446/","author":[{"family":"Pei","given":"Y. H."},{"family":"Yeo","given":"H. G."}],"accessed":{"date-parts":[["2024",4,19]]},"issued":{"date-parts":[["2009",10]]}}}],"schema":"https://github.com/citation-style-language/schema/raw/master/csl-citation.json"} </w:instrText>
      </w:r>
      <w:r>
        <w:fldChar w:fldCharType="separate"/>
      </w:r>
      <w:r w:rsidRPr="00D10F22">
        <w:t>(Pei and Yeo 2009)</w:t>
      </w:r>
      <w:r>
        <w:fldChar w:fldCharType="end"/>
      </w:r>
      <w:r>
        <w:t xml:space="preserve">, as well as for conducting geophysical surveys to uncover mineral deposits </w:t>
      </w:r>
      <w:r>
        <w:fldChar w:fldCharType="begin"/>
      </w:r>
      <w:r>
        <w:instrText xml:space="preserve"> ADDIN ZOTERO_ITEM CSL_CITATION {"citationID":"a26zDaSy","properties":{"formattedCitation":"(Kowalczyk 2011)","plainCitation":"(Kowalczyk 2011)","noteIndex":0},"citationItems":[{"id":87,"uris":["http://zotero.org/users/13351600/items/CUGGGHLI"],"itemData":{"id":87,"type":"paper-conference","abstract":"Geophysical exploration for Submarine Massive Sulfide (SMS) deposits is evolving rapidly from an ad hoc process dependent upon the visual mapping of deposits using Remotely Operated Vehicles (ROVs) to a systematic process of precision bathymetric mapping, magnetic mapping, and electromagnetic mapping using Autonomous Underwater Vehicles (AUVs) and ROVs. This change is driven by a desire for efficiency in a commercial environment. The exploration for SMS deposits has moved from the academic realm to that of commercial exploration and exploitation. Exploration for SMS deposits is becoming routine, with exploration companies refining their methods as they gather experience. The necessary geophysical equipment and processing methods have been proven to be both efficient and reliable during multiple exploration campaigns.","container-title":"OCEANS'11 MTS/IEEE KONA","DOI":"10.23919/OCEANS.2011.6107069","event-place":"Waikoloa, HI","event-title":"OCEANS 2011","ISBN":"978-1-4577-1427-6","language":"en","page":"1-5","publisher":"IEEE","publisher-place":"Waikoloa, HI","source":"DOI.org (Crossref)","title":"Geophysical exploration for Submarine Massive Sulfide deposits","URL":"http://ieeexplore.ieee.org/document/6107069/","author":[{"family":"Kowalczyk","given":"Peter"}],"accessed":{"date-parts":[["2024",4,19]]},"issued":{"date-parts":[["2011",9]]}}}],"schema":"https://github.com/citation-style-language/schema/raw/master/csl-citation.json"} </w:instrText>
      </w:r>
      <w:r>
        <w:fldChar w:fldCharType="separate"/>
      </w:r>
      <w:r w:rsidRPr="00D10F22">
        <w:t>(Kowalczyk 2011)</w:t>
      </w:r>
      <w:r>
        <w:fldChar w:fldCharType="end"/>
      </w:r>
      <w:r>
        <w:t xml:space="preserve">. </w:t>
      </w:r>
      <w:r w:rsidRPr="00C67103">
        <w:t>Recently developed sensitive atomic magnetometers, such as Geometrics, Inc.’s M</w:t>
      </w:r>
      <w:r w:rsidR="00DA341B">
        <w:t>icro-</w:t>
      </w:r>
      <w:r w:rsidRPr="00C67103">
        <w:t>F</w:t>
      </w:r>
      <w:r w:rsidR="00DA341B">
        <w:t xml:space="preserve">abricated </w:t>
      </w:r>
      <w:r w:rsidRPr="00C67103">
        <w:t>A</w:t>
      </w:r>
      <w:r w:rsidR="00DA341B">
        <w:t xml:space="preserve">tomic </w:t>
      </w:r>
      <w:r w:rsidRPr="00C67103">
        <w:t>M</w:t>
      </w:r>
      <w:r w:rsidR="00DA341B">
        <w:t>agnetometer (MFAM)</w:t>
      </w:r>
      <w:r w:rsidRPr="00C67103">
        <w:t xml:space="preserve"> and </w:t>
      </w:r>
      <w:r w:rsidR="00A962A7">
        <w:t xml:space="preserve">the </w:t>
      </w:r>
      <w:proofErr w:type="spellStart"/>
      <w:r w:rsidRPr="00C67103">
        <w:t>QuSpin</w:t>
      </w:r>
      <w:proofErr w:type="spellEnd"/>
      <w:r w:rsidRPr="00C67103">
        <w:t xml:space="preserve"> Inc.</w:t>
      </w:r>
      <w:r w:rsidR="00F32573">
        <w:t xml:space="preserve"> </w:t>
      </w:r>
      <w:r w:rsidR="00A962A7">
        <w:t xml:space="preserve">atomic </w:t>
      </w:r>
      <w:r w:rsidR="00F32573">
        <w:t>magnetometer</w:t>
      </w:r>
      <w:r w:rsidRPr="00C67103">
        <w:t>, have opened ways to further enhance magnetic anomalies’ detection and localization, which makes them well suited for finding deep</w:t>
      </w:r>
      <w:r w:rsidR="00693768">
        <w:t>er</w:t>
      </w:r>
      <w:r w:rsidRPr="00C67103">
        <w:t xml:space="preserve"> ferrous anomalies</w:t>
      </w:r>
      <w:r w:rsidR="0005140F">
        <w:t>.</w:t>
      </w:r>
      <w:r w:rsidRPr="00C67103">
        <w:t xml:space="preserve"> </w:t>
      </w:r>
      <w:r w:rsidR="00D52533" w:rsidRPr="00C67103">
        <w:t>These magnetometers are not only highly sensitive,</w:t>
      </w:r>
      <w:r w:rsidRPr="00C67103">
        <w:t xml:space="preserve"> able to detect low magnitude changes in the local magnetic field caused by magnetic anomalies</w:t>
      </w:r>
      <w:r w:rsidR="007D5766">
        <w:t>,</w:t>
      </w:r>
      <w:r w:rsidRPr="00C67103">
        <w:t xml:space="preserve"> but the </w:t>
      </w:r>
      <w:r w:rsidR="00774EF9">
        <w:t xml:space="preserve">they can </w:t>
      </w:r>
      <w:r w:rsidRPr="00C67103">
        <w:t>sample</w:t>
      </w:r>
      <w:r w:rsidR="00774EF9">
        <w:t xml:space="preserve"> signals </w:t>
      </w:r>
      <w:r w:rsidRPr="00C67103">
        <w:t xml:space="preserve">at </w:t>
      </w:r>
      <w:r w:rsidR="00513111">
        <w:t xml:space="preserve">a </w:t>
      </w:r>
      <w:r>
        <w:t>2kHz</w:t>
      </w:r>
      <w:r w:rsidR="00774EF9">
        <w:t xml:space="preserve"> rate </w:t>
      </w:r>
      <w:proofErr w:type="gramStart"/>
      <w:r w:rsidRPr="00C67103">
        <w:t>and</w:t>
      </w:r>
      <w:r w:rsidR="00BE076D">
        <w:t xml:space="preserve"> </w:t>
      </w:r>
      <w:r w:rsidR="00973270">
        <w:t xml:space="preserve"> </w:t>
      </w:r>
      <w:r w:rsidRPr="00C67103">
        <w:t>store</w:t>
      </w:r>
      <w:proofErr w:type="gramEnd"/>
      <w:r w:rsidRPr="00C67103">
        <w:t xml:space="preserve"> </w:t>
      </w:r>
      <w:r w:rsidR="00627EB5">
        <w:t xml:space="preserve">them </w:t>
      </w:r>
      <w:r w:rsidRPr="00C67103">
        <w:t>for post-processing, allowing for very dense data collection over areas of interest.</w:t>
      </w:r>
      <w:r w:rsidR="00016964">
        <w:t xml:space="preserve"> </w:t>
      </w:r>
      <w:r w:rsidR="00774EF9">
        <w:t>Although passive magnetic field sensors are good for deep target detection, the</w:t>
      </w:r>
      <w:r w:rsidR="00D56BB3">
        <w:t xml:space="preserve">re are several drawbacks of using them: </w:t>
      </w:r>
      <w:r w:rsidR="002B7A9E">
        <w:t xml:space="preserve">1. They rely on the Earth's magnetic field as the primary means for illuminating targets, which limits target classification </w:t>
      </w:r>
      <w:r w:rsidR="009C3AD2">
        <w:t>through</w:t>
      </w:r>
      <w:r w:rsidR="002B7A9E">
        <w:t xml:space="preserve"> magnetic data. 2. They can only detect ferrous or ferromagnetic targets. These problems can be addressed by combining the active EMI and magnetometer systems.</w:t>
      </w:r>
    </w:p>
    <w:p w14:paraId="5F6A27F3" w14:textId="77777777" w:rsidR="002B7A9E" w:rsidRDefault="002B7A9E" w:rsidP="00016964">
      <w:pPr>
        <w:widowControl w:val="0"/>
        <w:autoSpaceDE w:val="0"/>
        <w:autoSpaceDN w:val="0"/>
        <w:adjustRightInd w:val="0"/>
        <w:ind w:firstLine="720"/>
      </w:pPr>
    </w:p>
    <w:p w14:paraId="2595894E" w14:textId="6A60F39D" w:rsidR="00B4317C" w:rsidRDefault="00B4317C" w:rsidP="000D1650">
      <w:pPr>
        <w:widowControl w:val="0"/>
        <w:autoSpaceDE w:val="0"/>
        <w:autoSpaceDN w:val="0"/>
        <w:adjustRightInd w:val="0"/>
        <w:ind w:firstLine="720"/>
      </w:pPr>
      <w:r>
        <w:t>Th</w:t>
      </w:r>
      <w:r w:rsidR="00477D7B">
        <w:t xml:space="preserve">e following sections </w:t>
      </w:r>
      <w:r w:rsidR="00F14013">
        <w:t xml:space="preserve">present the methodology and testing </w:t>
      </w:r>
      <w:r w:rsidR="00B21769">
        <w:t xml:space="preserve">used to investigate the </w:t>
      </w:r>
      <w:r w:rsidR="00F146ED">
        <w:t xml:space="preserve">usage of a joint magnetometer and </w:t>
      </w:r>
      <w:r w:rsidR="003E2590">
        <w:t>TD</w:t>
      </w:r>
      <w:r w:rsidR="00F146ED">
        <w:t xml:space="preserve">EMI system, </w:t>
      </w:r>
      <w:r w:rsidR="003E2590">
        <w:t xml:space="preserve">followed by a </w:t>
      </w:r>
      <w:r w:rsidR="009C4371">
        <w:t xml:space="preserve">presentation </w:t>
      </w:r>
      <w:r w:rsidR="003E2590">
        <w:t xml:space="preserve">of </w:t>
      </w:r>
      <w:r w:rsidR="009C4371">
        <w:t>selected data, and discussion of and conclusions drawn from the data.</w:t>
      </w:r>
    </w:p>
    <w:p w14:paraId="025BCD47" w14:textId="77777777" w:rsidR="003F0C8B" w:rsidRDefault="003F0C8B" w:rsidP="000D1650">
      <w:pPr>
        <w:pStyle w:val="SAGEEPtext"/>
        <w:ind w:firstLine="0"/>
      </w:pPr>
    </w:p>
    <w:p w14:paraId="3CE48AA1" w14:textId="3DF242AC" w:rsidR="00C9009F" w:rsidRDefault="00C9009F" w:rsidP="00C9009F">
      <w:pPr>
        <w:pStyle w:val="SAGEEPheading"/>
      </w:pPr>
      <w:r>
        <w:t>Methodology and Testing</w:t>
      </w:r>
    </w:p>
    <w:p w14:paraId="05E9BA9A" w14:textId="54FF209D" w:rsidR="00296140" w:rsidRDefault="003373E2" w:rsidP="00C9009F">
      <w:pPr>
        <w:pStyle w:val="SAGEEPtext"/>
      </w:pPr>
      <w:r>
        <w:t>To perform the testing and data collection, a</w:t>
      </w:r>
      <w:r w:rsidR="00844458">
        <w:t xml:space="preserve">n active EMI transmitter was set up </w:t>
      </w:r>
      <w:r w:rsidR="002722F8">
        <w:t>above a magnetometer and passive EMI receiver</w:t>
      </w:r>
      <w:r w:rsidR="00111EA0">
        <w:t xml:space="preserve">, allowing for a direct comparison between the recorded responses in each modality. </w:t>
      </w:r>
      <w:r w:rsidR="001730F8">
        <w:t>A</w:t>
      </w:r>
      <w:r w:rsidR="00DD3240">
        <w:t xml:space="preserve">n adjustable </w:t>
      </w:r>
      <w:r w:rsidR="001730F8">
        <w:t xml:space="preserve">platform was used to place targets at different depths relative to the active transmitter, as shown in </w:t>
      </w:r>
      <w:r w:rsidR="00256EAD" w:rsidRPr="00C3049D">
        <w:fldChar w:fldCharType="begin"/>
      </w:r>
      <w:r w:rsidR="00256EAD" w:rsidRPr="00256EAD">
        <w:instrText xml:space="preserve"> REF _Ref184758697 \h </w:instrText>
      </w:r>
      <w:r w:rsidR="00256EAD" w:rsidRPr="000D1650">
        <w:instrText xml:space="preserve"> \* MERGEFORMAT </w:instrText>
      </w:r>
      <w:r w:rsidR="00256EAD" w:rsidRPr="00C3049D">
        <w:fldChar w:fldCharType="separate"/>
      </w:r>
      <w:r w:rsidR="00256EAD" w:rsidRPr="00256EAD">
        <w:t xml:space="preserve">Figure </w:t>
      </w:r>
      <w:r w:rsidR="00256EAD" w:rsidRPr="00256EAD">
        <w:rPr>
          <w:noProof/>
        </w:rPr>
        <w:t>1</w:t>
      </w:r>
      <w:r w:rsidR="00256EAD" w:rsidRPr="00C3049D">
        <w:fldChar w:fldCharType="end"/>
      </w:r>
      <w:r w:rsidR="00256EAD">
        <w:t>.</w:t>
      </w:r>
      <w:r w:rsidR="007C3EEB">
        <w:t xml:space="preserve"> Three different </w:t>
      </w:r>
      <w:r w:rsidR="005041C2">
        <w:t xml:space="preserve">medium </w:t>
      </w:r>
      <w:r w:rsidR="008C50E1">
        <w:t xml:space="preserve">Industry Standard Object (ISO) </w:t>
      </w:r>
      <w:r w:rsidR="007C3EEB">
        <w:t xml:space="preserve">pipe sections are shown (aluminum, brass, and steel), in </w:t>
      </w:r>
      <w:r w:rsidR="004C2702">
        <w:t>a</w:t>
      </w:r>
      <w:r w:rsidR="007C3EEB">
        <w:t xml:space="preserve"> horizontal orientation. </w:t>
      </w:r>
      <w:r w:rsidR="0062567B">
        <w:t xml:space="preserve">The transmitter runs a pulsed current through the transmitter coil, generating the time-varying magnetic field. In this particular case, the 1-meter diameter coil </w:t>
      </w:r>
      <w:r w:rsidR="00D56BB3">
        <w:t>carri</w:t>
      </w:r>
      <w:r w:rsidR="00BE076D">
        <w:t>es</w:t>
      </w:r>
      <w:r w:rsidR="00D56BB3">
        <w:t xml:space="preserve"> </w:t>
      </w:r>
      <w:r w:rsidR="00BE076D">
        <w:t xml:space="preserve">a </w:t>
      </w:r>
      <w:r w:rsidR="00D56BB3">
        <w:t>pulsed transmitter</w:t>
      </w:r>
      <w:r w:rsidR="0062567B">
        <w:t xml:space="preserve"> current </w:t>
      </w:r>
      <w:r w:rsidR="00D56BB3">
        <w:t>with</w:t>
      </w:r>
      <w:r w:rsidR="0062567B">
        <w:t xml:space="preserve"> 20</w:t>
      </w:r>
      <w:r w:rsidR="00391FE3">
        <w:t>-</w:t>
      </w:r>
      <w:r w:rsidR="0062567B">
        <w:t>millisecond on- and off-periods.</w:t>
      </w:r>
    </w:p>
    <w:p w14:paraId="2C9E7F15" w14:textId="13ADF596" w:rsidR="00400CB2" w:rsidRDefault="00296140" w:rsidP="00C9009F">
      <w:pPr>
        <w:pStyle w:val="SAGEEPtext"/>
      </w:pPr>
      <w:r>
        <w:t xml:space="preserve">Data </w:t>
      </w:r>
      <w:r w:rsidR="00400CB2">
        <w:t xml:space="preserve">collection was performed in two instances </w:t>
      </w:r>
      <w:r w:rsidR="00D56BB3">
        <w:t>(“static” and “dynamic”)</w:t>
      </w:r>
      <w:r w:rsidR="001B6DD3">
        <w:t xml:space="preserve"> </w:t>
      </w:r>
      <w:r w:rsidR="00400CB2">
        <w:t xml:space="preserve">for each target </w:t>
      </w:r>
      <w:r w:rsidR="00D56BB3">
        <w:t xml:space="preserve">at different </w:t>
      </w:r>
      <w:r w:rsidR="00400CB2">
        <w:t xml:space="preserve">depth and orientation: 1. A “static” collection where the active EMI transmitter was off, recording the targets’ responses solely </w:t>
      </w:r>
      <w:r w:rsidR="00A5040B">
        <w:t xml:space="preserve">due </w:t>
      </w:r>
      <w:r w:rsidR="00400CB2">
        <w:t xml:space="preserve">to Earth’s static field. 2. A “dynamic” collection where the active EMI transmitter was on, </w:t>
      </w:r>
      <w:r w:rsidR="002B742F">
        <w:t xml:space="preserve">recording the responses due to the time-varying primary field as well as Earth’s static one. Additionally, </w:t>
      </w:r>
      <w:r w:rsidR="00846DA3">
        <w:t xml:space="preserve">one static and dynamic collection each were recorded with no targets present, to </w:t>
      </w:r>
      <w:r w:rsidR="003B7644">
        <w:t xml:space="preserve">use as a </w:t>
      </w:r>
      <w:r w:rsidR="008F275E">
        <w:t xml:space="preserve">reference for </w:t>
      </w:r>
      <w:r w:rsidR="003B7644">
        <w:t xml:space="preserve">background </w:t>
      </w:r>
      <w:r w:rsidR="008F275E">
        <w:t>data subtraction.</w:t>
      </w:r>
    </w:p>
    <w:p w14:paraId="48794298" w14:textId="5A92FB7A" w:rsidR="00256EAD" w:rsidRDefault="000032D4">
      <w:pPr>
        <w:pStyle w:val="SAGEEPtext"/>
      </w:pPr>
      <w:r>
        <w:t>E</w:t>
      </w:r>
      <w:r w:rsidR="00FD690B">
        <w:t>xtract</w:t>
      </w:r>
      <w:r>
        <w:t>ing</w:t>
      </w:r>
      <w:r w:rsidR="00FD690B">
        <w:t xml:space="preserve"> the </w:t>
      </w:r>
      <w:r w:rsidR="004C5C7C">
        <w:t xml:space="preserve">signals from the magnetometer </w:t>
      </w:r>
      <w:r w:rsidR="00A12436">
        <w:t>is a multi-step process.</w:t>
      </w:r>
      <w:r w:rsidR="006D6E6B">
        <w:t xml:space="preserve"> </w:t>
      </w:r>
      <w:r w:rsidR="00987C1A">
        <w:t xml:space="preserve">The first step </w:t>
      </w:r>
      <w:r w:rsidR="00DF078F">
        <w:t>is stacking and averaging the collected dynamic data</w:t>
      </w:r>
      <w:r w:rsidR="00F1099C">
        <w:t>.</w:t>
      </w:r>
      <w:r w:rsidR="00526DE2">
        <w:t xml:space="preserve"> The second is then </w:t>
      </w:r>
      <w:r w:rsidR="00DF078F">
        <w:t>removing both the static and dynamic background, as well as static target responses from the active target response data. Once all of the external responses are removed, the individual targets’ decays become distinguishable.</w:t>
      </w:r>
    </w:p>
    <w:p w14:paraId="0F91CF82" w14:textId="77777777" w:rsidR="003D020A" w:rsidRDefault="003D020A" w:rsidP="000D1650">
      <w:pPr>
        <w:pStyle w:val="SAGEEPtext"/>
        <w:ind w:firstLine="0"/>
      </w:pPr>
    </w:p>
    <w:p w14:paraId="48C1F046" w14:textId="77777777" w:rsidR="001730F8" w:rsidRDefault="001730F8" w:rsidP="000D1650">
      <w:pPr>
        <w:pStyle w:val="SAGEEPtext"/>
        <w:keepNext/>
        <w:ind w:firstLine="0"/>
      </w:pPr>
      <w:r>
        <w:rPr>
          <w:noProof/>
        </w:rPr>
        <w:lastRenderedPageBreak/>
        <w:drawing>
          <wp:inline distT="0" distB="0" distL="0" distR="0" wp14:anchorId="3EC96A36" wp14:editId="50467661">
            <wp:extent cx="6426977" cy="22434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3cm_MedISO_Setup.png"/>
                    <pic:cNvPicPr/>
                  </pic:nvPicPr>
                  <pic:blipFill>
                    <a:blip r:embed="rId8">
                      <a:extLst>
                        <a:ext uri="{28A0092B-C50C-407E-A947-70E740481C1C}">
                          <a14:useLocalDpi xmlns:a14="http://schemas.microsoft.com/office/drawing/2010/main" val="0"/>
                        </a:ext>
                      </a:extLst>
                    </a:blip>
                    <a:stretch>
                      <a:fillRect/>
                    </a:stretch>
                  </pic:blipFill>
                  <pic:spPr>
                    <a:xfrm>
                      <a:off x="0" y="0"/>
                      <a:ext cx="6438334" cy="2247434"/>
                    </a:xfrm>
                    <a:prstGeom prst="rect">
                      <a:avLst/>
                    </a:prstGeom>
                  </pic:spPr>
                </pic:pic>
              </a:graphicData>
            </a:graphic>
          </wp:inline>
        </w:drawing>
      </w:r>
    </w:p>
    <w:p w14:paraId="62FD52B9" w14:textId="0D5C985B" w:rsidR="00611AA2" w:rsidRPr="00C3049D" w:rsidRDefault="001730F8" w:rsidP="000D1650">
      <w:pPr>
        <w:pStyle w:val="Caption"/>
        <w:jc w:val="left"/>
      </w:pPr>
      <w:bookmarkStart w:id="0" w:name="_Ref184758697"/>
      <w:r w:rsidRPr="000D1650">
        <w:rPr>
          <w:b/>
          <w:i w:val="0"/>
          <w:color w:val="auto"/>
          <w:sz w:val="24"/>
          <w:szCs w:val="24"/>
        </w:rPr>
        <w:t xml:space="preserve">Figure </w:t>
      </w:r>
      <w:r w:rsidRPr="000D1650">
        <w:rPr>
          <w:b/>
          <w:i w:val="0"/>
          <w:color w:val="auto"/>
          <w:sz w:val="24"/>
          <w:szCs w:val="24"/>
        </w:rPr>
        <w:fldChar w:fldCharType="begin"/>
      </w:r>
      <w:r w:rsidRPr="000D1650">
        <w:rPr>
          <w:b/>
          <w:i w:val="0"/>
          <w:color w:val="auto"/>
          <w:sz w:val="24"/>
          <w:szCs w:val="24"/>
        </w:rPr>
        <w:instrText xml:space="preserve"> SEQ Figure \* ARABIC </w:instrText>
      </w:r>
      <w:r w:rsidRPr="000D1650">
        <w:rPr>
          <w:b/>
          <w:i w:val="0"/>
          <w:color w:val="auto"/>
          <w:sz w:val="24"/>
          <w:szCs w:val="24"/>
        </w:rPr>
        <w:fldChar w:fldCharType="separate"/>
      </w:r>
      <w:r w:rsidR="000D342C" w:rsidRPr="000D342C">
        <w:rPr>
          <w:b/>
          <w:i w:val="0"/>
          <w:noProof/>
          <w:color w:val="auto"/>
          <w:sz w:val="24"/>
          <w:szCs w:val="24"/>
        </w:rPr>
        <w:t>1</w:t>
      </w:r>
      <w:r w:rsidRPr="000D1650">
        <w:rPr>
          <w:b/>
          <w:i w:val="0"/>
          <w:color w:val="auto"/>
          <w:sz w:val="24"/>
          <w:szCs w:val="24"/>
        </w:rPr>
        <w:fldChar w:fldCharType="end"/>
      </w:r>
      <w:bookmarkEnd w:id="0"/>
      <w:r w:rsidR="000D342C" w:rsidRPr="000D1650">
        <w:rPr>
          <w:b/>
          <w:i w:val="0"/>
          <w:color w:val="auto"/>
          <w:sz w:val="24"/>
          <w:szCs w:val="24"/>
        </w:rPr>
        <w:t>:</w:t>
      </w:r>
      <w:r w:rsidRPr="000D1650">
        <w:rPr>
          <w:i w:val="0"/>
          <w:color w:val="auto"/>
          <w:sz w:val="24"/>
          <w:szCs w:val="24"/>
        </w:rPr>
        <w:t xml:space="preserve"> </w:t>
      </w:r>
      <w:r w:rsidR="00331E6A" w:rsidRPr="000D342C">
        <w:rPr>
          <w:i w:val="0"/>
          <w:color w:val="auto"/>
          <w:sz w:val="24"/>
          <w:szCs w:val="24"/>
        </w:rPr>
        <w:t>Example testing setup, showing the distance between transmitter and receiver, as well as three different medium pipe sections used as targets</w:t>
      </w:r>
      <w:r w:rsidR="00256EAD" w:rsidRPr="000D342C">
        <w:rPr>
          <w:i w:val="0"/>
          <w:color w:val="auto"/>
          <w:sz w:val="24"/>
          <w:szCs w:val="24"/>
        </w:rPr>
        <w:t>.</w:t>
      </w:r>
    </w:p>
    <w:p w14:paraId="68868313" w14:textId="7042CE43" w:rsidR="007D2853" w:rsidRDefault="00011BCB" w:rsidP="007D2853">
      <w:pPr>
        <w:pStyle w:val="SAGEEPheading"/>
      </w:pPr>
      <w:r>
        <w:tab/>
      </w:r>
      <w:r w:rsidR="007D2853">
        <w:t>Response Comparison</w:t>
      </w:r>
    </w:p>
    <w:p w14:paraId="6C2E2A49" w14:textId="62805397" w:rsidR="007C3EEB" w:rsidRDefault="00C06FF5" w:rsidP="000D1650">
      <w:pPr>
        <w:pStyle w:val="SAGEEPtext"/>
      </w:pPr>
      <w:r w:rsidRPr="00714D72">
        <w:fldChar w:fldCharType="begin"/>
      </w:r>
      <w:r w:rsidRPr="00C06FF5">
        <w:instrText xml:space="preserve"> REF _Ref184763947 \h </w:instrText>
      </w:r>
      <w:r w:rsidRPr="000D1650">
        <w:instrText xml:space="preserve"> \* MERGEFORMAT </w:instrText>
      </w:r>
      <w:r w:rsidRPr="00714D72">
        <w:fldChar w:fldCharType="separate"/>
      </w:r>
      <w:r w:rsidRPr="00C06FF5">
        <w:t xml:space="preserve">Figure </w:t>
      </w:r>
      <w:r w:rsidRPr="00C06FF5">
        <w:rPr>
          <w:noProof/>
        </w:rPr>
        <w:t>2</w:t>
      </w:r>
      <w:r w:rsidRPr="00714D72">
        <w:fldChar w:fldCharType="end"/>
      </w:r>
      <w:r w:rsidR="002F748A">
        <w:t xml:space="preserve"> shows the response of all three medium ISO pipes, laying horizontally at 73cm below the transmitter. </w:t>
      </w:r>
      <w:r w:rsidR="00625DFE">
        <w:t>The four subdivisions of the top graph denote the 20</w:t>
      </w:r>
      <w:r w:rsidR="00274378">
        <w:t>-</w:t>
      </w:r>
      <w:r w:rsidR="00625DFE">
        <w:t>m</w:t>
      </w:r>
      <w:r w:rsidR="00A53E24">
        <w:t>illi</w:t>
      </w:r>
      <w:r w:rsidR="00625DFE">
        <w:t>sec</w:t>
      </w:r>
      <w:r w:rsidR="00A53E24">
        <w:t>ond</w:t>
      </w:r>
      <w:r w:rsidR="00625DFE">
        <w:t xml:space="preserve"> </w:t>
      </w:r>
      <w:r w:rsidR="008D3D43">
        <w:t xml:space="preserve">on- and off-periods of the active transmitter for the </w:t>
      </w:r>
      <w:r w:rsidR="00274378">
        <w:t>80-millisecond</w:t>
      </w:r>
      <w:r w:rsidR="008D3D43">
        <w:t xml:space="preserve"> cycle.</w:t>
      </w:r>
      <w:r w:rsidR="00274378">
        <w:t xml:space="preserve"> </w:t>
      </w:r>
      <w:r w:rsidR="004C0552">
        <w:t>In the regions between 30-40 milliseconds and 70-80 milliseconds</w:t>
      </w:r>
      <w:r w:rsidR="00B80D7B">
        <w:t xml:space="preserve">, the decays of the three different materials are </w:t>
      </w:r>
      <w:r w:rsidR="00C24FFF">
        <w:t xml:space="preserve">distinguishable. </w:t>
      </w:r>
      <w:r w:rsidR="00631C85">
        <w:t xml:space="preserve">By contrast, </w:t>
      </w:r>
      <w:r w:rsidR="00431A75">
        <w:t>the responses recorded in the EMI receiver</w:t>
      </w:r>
      <w:r w:rsidR="00472EC2">
        <w:t>, shown in the bottom graph, are not differentiable between each other, indicating that the targets are too “deep” for detection with just the EMI sensor.</w:t>
      </w:r>
    </w:p>
    <w:p w14:paraId="578D81B3" w14:textId="1104FFF8" w:rsidR="007513DA" w:rsidRDefault="007513DA" w:rsidP="007C3EEB">
      <w:pPr>
        <w:pStyle w:val="SAGEEPtext"/>
        <w:ind w:firstLine="0"/>
      </w:pPr>
    </w:p>
    <w:p w14:paraId="6F90BC11" w14:textId="0CE16D33" w:rsidR="000D342C" w:rsidRDefault="00597120" w:rsidP="000D1650">
      <w:pPr>
        <w:pStyle w:val="SAGEEPtext"/>
        <w:keepNext/>
        <w:ind w:firstLine="0"/>
      </w:pPr>
      <w:r w:rsidRPr="00671986">
        <w:rPr>
          <w:noProof/>
        </w:rPr>
        <w:drawing>
          <wp:inline distT="0" distB="0" distL="0" distR="0" wp14:anchorId="3F26FC51" wp14:editId="30A8B918">
            <wp:extent cx="6766017" cy="32552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76695" cy="3260401"/>
                    </a:xfrm>
                    <a:prstGeom prst="rect">
                      <a:avLst/>
                    </a:prstGeom>
                    <a:noFill/>
                    <a:ln>
                      <a:noFill/>
                    </a:ln>
                  </pic:spPr>
                </pic:pic>
              </a:graphicData>
            </a:graphic>
          </wp:inline>
        </w:drawing>
      </w:r>
    </w:p>
    <w:p w14:paraId="074AC875" w14:textId="1BBCFCC1" w:rsidR="004D5CC4" w:rsidRPr="00C3049D" w:rsidRDefault="000D342C" w:rsidP="000D1650">
      <w:pPr>
        <w:pStyle w:val="Caption"/>
        <w:jc w:val="left"/>
      </w:pPr>
      <w:bookmarkStart w:id="1" w:name="_Ref184763947"/>
      <w:r w:rsidRPr="000D1650">
        <w:rPr>
          <w:b/>
          <w:i w:val="0"/>
          <w:color w:val="auto"/>
          <w:sz w:val="24"/>
          <w:szCs w:val="24"/>
        </w:rPr>
        <w:t xml:space="preserve">Figure </w:t>
      </w:r>
      <w:r w:rsidRPr="000D1650">
        <w:rPr>
          <w:b/>
          <w:i w:val="0"/>
          <w:color w:val="auto"/>
          <w:sz w:val="24"/>
          <w:szCs w:val="24"/>
        </w:rPr>
        <w:fldChar w:fldCharType="begin"/>
      </w:r>
      <w:r w:rsidRPr="000D1650">
        <w:rPr>
          <w:b/>
          <w:i w:val="0"/>
          <w:color w:val="auto"/>
          <w:sz w:val="24"/>
          <w:szCs w:val="24"/>
        </w:rPr>
        <w:instrText xml:space="preserve"> SEQ Figure \* ARABIC </w:instrText>
      </w:r>
      <w:r w:rsidRPr="000D1650">
        <w:rPr>
          <w:b/>
          <w:i w:val="0"/>
          <w:color w:val="auto"/>
          <w:sz w:val="24"/>
          <w:szCs w:val="24"/>
        </w:rPr>
        <w:fldChar w:fldCharType="separate"/>
      </w:r>
      <w:r w:rsidRPr="000D1650">
        <w:rPr>
          <w:b/>
          <w:i w:val="0"/>
          <w:noProof/>
          <w:color w:val="auto"/>
          <w:sz w:val="24"/>
          <w:szCs w:val="24"/>
        </w:rPr>
        <w:t>2</w:t>
      </w:r>
      <w:r w:rsidRPr="000D1650">
        <w:rPr>
          <w:b/>
          <w:i w:val="0"/>
          <w:color w:val="auto"/>
          <w:sz w:val="24"/>
          <w:szCs w:val="24"/>
        </w:rPr>
        <w:fldChar w:fldCharType="end"/>
      </w:r>
      <w:bookmarkEnd w:id="1"/>
      <w:r w:rsidRPr="000D1650">
        <w:rPr>
          <w:b/>
          <w:i w:val="0"/>
          <w:color w:val="auto"/>
          <w:sz w:val="24"/>
          <w:szCs w:val="24"/>
        </w:rPr>
        <w:t>:</w:t>
      </w:r>
      <w:r>
        <w:rPr>
          <w:i w:val="0"/>
          <w:color w:val="auto"/>
          <w:sz w:val="24"/>
          <w:szCs w:val="24"/>
        </w:rPr>
        <w:t xml:space="preserve"> </w:t>
      </w:r>
      <w:r w:rsidR="00DE442F">
        <w:rPr>
          <w:i w:val="0"/>
          <w:color w:val="auto"/>
          <w:sz w:val="24"/>
          <w:szCs w:val="24"/>
        </w:rPr>
        <w:t>A comparison of the data collected using the MFAM (top) and the passive EMI receiver (bottom)</w:t>
      </w:r>
      <w:r w:rsidR="00540F29">
        <w:rPr>
          <w:i w:val="0"/>
          <w:color w:val="auto"/>
          <w:sz w:val="24"/>
          <w:szCs w:val="24"/>
        </w:rPr>
        <w:t xml:space="preserve">, for the three different pipe sections at </w:t>
      </w:r>
      <w:r w:rsidR="00597120">
        <w:rPr>
          <w:i w:val="0"/>
          <w:color w:val="auto"/>
          <w:sz w:val="24"/>
          <w:szCs w:val="24"/>
        </w:rPr>
        <w:t xml:space="preserve">73 </w:t>
      </w:r>
      <w:r w:rsidR="00540F29">
        <w:rPr>
          <w:i w:val="0"/>
          <w:color w:val="auto"/>
          <w:sz w:val="24"/>
          <w:szCs w:val="24"/>
        </w:rPr>
        <w:t>cm away from the active transmitter</w:t>
      </w:r>
      <w:r w:rsidR="002118E4">
        <w:rPr>
          <w:i w:val="0"/>
          <w:color w:val="auto"/>
          <w:sz w:val="24"/>
          <w:szCs w:val="24"/>
        </w:rPr>
        <w:t>.</w:t>
      </w:r>
    </w:p>
    <w:p w14:paraId="5798A162" w14:textId="37D64215" w:rsidR="00154B43" w:rsidRPr="000D1650" w:rsidRDefault="00365950">
      <w:pPr>
        <w:pStyle w:val="SAGEEPfigure"/>
        <w:jc w:val="both"/>
        <w:rPr>
          <w:bCs w:val="0"/>
        </w:rPr>
      </w:pPr>
      <w:r>
        <w:lastRenderedPageBreak/>
        <w:tab/>
      </w:r>
      <w:r w:rsidR="00FD132B">
        <w:t xml:space="preserve">The 0-10 millisecond and 40-60 millisecond windows, the on-period, saturate the magnetometers. After the current is shut off, there is an additional 10 milliseconds where the magnetic field recorded seems to be behaving erratically. This is a result of the </w:t>
      </w:r>
      <w:r w:rsidR="002A6321">
        <w:t xml:space="preserve">sudden and sharp change </w:t>
      </w:r>
      <w:r w:rsidR="00B9797F">
        <w:t>in magnetic field overwhelming the magnetometers, causing the sensor to temporarily los</w:t>
      </w:r>
      <w:r w:rsidR="00E432EC">
        <w:t>e</w:t>
      </w:r>
      <w:r w:rsidR="00B9797F">
        <w:t xml:space="preserve"> its</w:t>
      </w:r>
      <w:r w:rsidR="00FD132B">
        <w:t xml:space="preserve"> </w:t>
      </w:r>
      <w:r w:rsidR="00B9797F">
        <w:t>lock. As the magnet</w:t>
      </w:r>
      <w:r w:rsidR="00AF5800">
        <w:t>ometer</w:t>
      </w:r>
      <w:r w:rsidR="00B9797F">
        <w:t xml:space="preserve"> levels itself out, the magnetic field readings reemerge, showing the target responses.</w:t>
      </w:r>
    </w:p>
    <w:p w14:paraId="7CA8B86E" w14:textId="77777777" w:rsidR="001774A8" w:rsidRDefault="001774A8" w:rsidP="000D1650">
      <w:pPr>
        <w:pStyle w:val="SAGEEPtext"/>
        <w:ind w:firstLine="0"/>
      </w:pPr>
    </w:p>
    <w:p w14:paraId="6FB840FB" w14:textId="77777777" w:rsidR="007D1264" w:rsidRDefault="007D1264" w:rsidP="007D1264">
      <w:pPr>
        <w:pStyle w:val="SAGEEPheading"/>
      </w:pPr>
      <w:r>
        <w:t>Conclusions</w:t>
      </w:r>
    </w:p>
    <w:p w14:paraId="1F6C2138" w14:textId="6BC974F1" w:rsidR="00A01100" w:rsidRDefault="003F3371" w:rsidP="007D1264">
      <w:pPr>
        <w:pStyle w:val="SAGEEPtext"/>
      </w:pPr>
      <w:r>
        <w:t xml:space="preserve">Initial findings indicate that the use of joint EMI-magnetometer </w:t>
      </w:r>
      <w:r w:rsidR="0074416E">
        <w:t>data allow</w:t>
      </w:r>
      <w:r w:rsidR="004969B5">
        <w:t>s</w:t>
      </w:r>
      <w:r w:rsidR="0074416E">
        <w:t xml:space="preserve"> for </w:t>
      </w:r>
      <w:r w:rsidR="004969B5">
        <w:t xml:space="preserve">deeper </w:t>
      </w:r>
      <w:r w:rsidR="0074416E">
        <w:t xml:space="preserve">detection depth than using data from </w:t>
      </w:r>
      <w:r w:rsidR="00A2434B">
        <w:t>the EMI</w:t>
      </w:r>
      <w:r w:rsidR="0074416E">
        <w:t xml:space="preserve"> sensor alone</w:t>
      </w:r>
      <w:bookmarkStart w:id="2" w:name="_GoBack"/>
      <w:r>
        <w:t xml:space="preserve">. </w:t>
      </w:r>
      <w:bookmarkEnd w:id="2"/>
      <w:r w:rsidR="00664DF8">
        <w:t xml:space="preserve">Additionally, using the joint sensor configuration allowed for </w:t>
      </w:r>
      <w:r w:rsidR="00BB7852">
        <w:t xml:space="preserve">material differentiation </w:t>
      </w:r>
      <w:r w:rsidR="00437FC1">
        <w:t xml:space="preserve">in the magnetometer, </w:t>
      </w:r>
      <w:r w:rsidR="006036D4">
        <w:t>even distinguishing between ferrous non-ferrous materials.</w:t>
      </w:r>
      <w:r w:rsidR="00587A9C">
        <w:t xml:space="preserve"> Further investigation will focus on </w:t>
      </w:r>
      <w:r w:rsidR="00F725A7">
        <w:t xml:space="preserve">improving the </w:t>
      </w:r>
      <w:r w:rsidR="0085657B">
        <w:t xml:space="preserve">data processing algorithms for cleaner extraction of data, as well as work on </w:t>
      </w:r>
      <w:r w:rsidR="001E2386">
        <w:t xml:space="preserve">applying </w:t>
      </w:r>
      <w:r w:rsidR="00307A4B">
        <w:t>identification capabilities to the processed data.</w:t>
      </w:r>
    </w:p>
    <w:p w14:paraId="29B89174" w14:textId="4FAF2ED4" w:rsidR="004320F8" w:rsidRDefault="004320F8" w:rsidP="007D1264">
      <w:pPr>
        <w:pStyle w:val="SAGEEPtext"/>
      </w:pPr>
      <w:r>
        <w:t xml:space="preserve">From this initial testing and data collection, </w:t>
      </w:r>
      <w:r w:rsidR="000829DB">
        <w:t xml:space="preserve">there is a clear limitation on how close the magnetometers and EMI transmitter can be together. </w:t>
      </w:r>
      <w:r w:rsidR="0034133C">
        <w:t xml:space="preserve">The large and sudden change in magnetic field produced by the transmitter overwhelms the magnetometer, requiring a settling time for the data collected to be viable. </w:t>
      </w:r>
      <w:r w:rsidR="003F66AF">
        <w:t>Ways to mitigate this interference will be investigated further, such as focusing on optimizing separation distances and placements between magnetometer and EMI transmitter.</w:t>
      </w:r>
    </w:p>
    <w:p w14:paraId="0EA46A23" w14:textId="77777777" w:rsidR="00782266" w:rsidRDefault="00782266" w:rsidP="000D1650">
      <w:pPr>
        <w:pStyle w:val="SAGEEPtext"/>
        <w:ind w:firstLine="0"/>
      </w:pPr>
    </w:p>
    <w:p w14:paraId="7F1EC645" w14:textId="77777777" w:rsidR="001774A8" w:rsidRDefault="001774A8" w:rsidP="007D1264">
      <w:pPr>
        <w:pStyle w:val="SAGEEPheading"/>
      </w:pPr>
      <w:r>
        <w:t>References</w:t>
      </w:r>
    </w:p>
    <w:p w14:paraId="3EB6688F" w14:textId="77777777" w:rsidR="00A444E2" w:rsidRPr="00A444E2" w:rsidRDefault="00E553CC" w:rsidP="00A444E2">
      <w:pPr>
        <w:pStyle w:val="Bibliography"/>
      </w:pPr>
      <w:r>
        <w:fldChar w:fldCharType="begin"/>
      </w:r>
      <w:r w:rsidR="00A444E2">
        <w:instrText xml:space="preserve"> ADDIN ZOTERO_BIBL {"uncited":[],"omitted":[],"custom":[]} CSL_BIBLIOGRAPHY </w:instrText>
      </w:r>
      <w:r>
        <w:fldChar w:fldCharType="separate"/>
      </w:r>
      <w:r w:rsidR="00A444E2" w:rsidRPr="00A444E2">
        <w:t xml:space="preserve">Jackson, J. D. 1999. </w:t>
      </w:r>
      <w:r w:rsidR="00A444E2" w:rsidRPr="00A444E2">
        <w:rPr>
          <w:i/>
          <w:iCs/>
        </w:rPr>
        <w:t>Classical Electrodynamics</w:t>
      </w:r>
      <w:r w:rsidR="00A444E2" w:rsidRPr="00A444E2">
        <w:t>. 3rd ed. New York: John Willey &amp; Sons.</w:t>
      </w:r>
    </w:p>
    <w:p w14:paraId="76D61E9F" w14:textId="77777777" w:rsidR="00A444E2" w:rsidRPr="00A444E2" w:rsidRDefault="00A444E2" w:rsidP="00A444E2">
      <w:pPr>
        <w:pStyle w:val="Bibliography"/>
      </w:pPr>
      <w:r w:rsidRPr="00A444E2">
        <w:t xml:space="preserve">Kowalczyk, Peter. 2011. “Geophysical Exploration for Submarine Massive Sulfide Deposits.” In </w:t>
      </w:r>
      <w:r w:rsidRPr="00A444E2">
        <w:rPr>
          <w:i/>
          <w:iCs/>
        </w:rPr>
        <w:t>OCEANS’11 MTS/IEEE KONA</w:t>
      </w:r>
      <w:r w:rsidRPr="00A444E2">
        <w:t>, 1–5. Waikoloa, HI: IEEE. https://doi.org/10.23919/OCEANS.2011.6107069.</w:t>
      </w:r>
    </w:p>
    <w:p w14:paraId="0F61B074" w14:textId="77777777" w:rsidR="00A444E2" w:rsidRPr="00A444E2" w:rsidRDefault="00A444E2" w:rsidP="00A444E2">
      <w:pPr>
        <w:pStyle w:val="Bibliography"/>
      </w:pPr>
      <w:r w:rsidRPr="00A444E2">
        <w:t xml:space="preserve">Pei, Y. H., and H. G. Yeo. 2009. “UXO Survey Using Vector Magnetic Gradiometer on Autonomous Underwater Vehicle.” In </w:t>
      </w:r>
      <w:r w:rsidRPr="00A444E2">
        <w:rPr>
          <w:i/>
          <w:iCs/>
        </w:rPr>
        <w:t>OCEANS 2009</w:t>
      </w:r>
      <w:r w:rsidRPr="00A444E2">
        <w:t>, 1–8. Biloxi, MS: IEEE. https://doi.org/10.23919/OCEANS.2009.5422446.</w:t>
      </w:r>
    </w:p>
    <w:p w14:paraId="3ECD9A0A" w14:textId="3B5B33C4" w:rsidR="001774A8" w:rsidRDefault="00E553CC">
      <w:pPr>
        <w:pStyle w:val="SAGEEPtext"/>
        <w:widowControl w:val="0"/>
        <w:ind w:firstLine="0"/>
      </w:pPr>
      <w:r>
        <w:fldChar w:fldCharType="end"/>
      </w:r>
    </w:p>
    <w:p w14:paraId="5ED6F377" w14:textId="77777777" w:rsidR="00D45EDE" w:rsidRDefault="00D45EDE" w:rsidP="00D45EDE">
      <w:pPr>
        <w:pStyle w:val="SAGEEPtext"/>
      </w:pPr>
    </w:p>
    <w:p w14:paraId="77471610" w14:textId="6723F5E2" w:rsidR="00D45EDE" w:rsidRDefault="00D45EDE" w:rsidP="00D45EDE">
      <w:pPr>
        <w:pStyle w:val="SAGEEPheading"/>
      </w:pPr>
      <w:r>
        <w:t>Acknowledgements</w:t>
      </w:r>
    </w:p>
    <w:p w14:paraId="66C942CB" w14:textId="505317A1" w:rsidR="00D45EDE" w:rsidRPr="003A1A5B" w:rsidRDefault="00882FBF" w:rsidP="00AE11DF">
      <w:pPr>
        <w:pStyle w:val="SAGEEPtext"/>
        <w:widowControl w:val="0"/>
        <w:ind w:firstLine="0"/>
      </w:pPr>
      <w:r w:rsidRPr="00AE11DF">
        <w:t>This work was funded by the National Science Foundation (NSF) grant DGE2125733</w:t>
      </w:r>
      <w:r w:rsidR="00F5754C">
        <w:t xml:space="preserve"> and </w:t>
      </w:r>
      <w:r w:rsidR="00AA0634">
        <w:t xml:space="preserve">the </w:t>
      </w:r>
      <w:r w:rsidR="00F5754C" w:rsidRPr="003A1A5B">
        <w:rPr>
          <w:rFonts w:asciiTheme="majorBidi" w:hAnsiTheme="majorBidi" w:cstheme="majorBidi"/>
        </w:rPr>
        <w:t>Office of Naval Research under grant #</w:t>
      </w:r>
      <w:r w:rsidR="00F5754C" w:rsidRPr="003A1A5B">
        <w:rPr>
          <w:rFonts w:asciiTheme="majorBidi" w:hAnsiTheme="majorBidi" w:cstheme="majorBidi"/>
          <w:shd w:val="clear" w:color="auto" w:fill="FFFFFF"/>
        </w:rPr>
        <w:t xml:space="preserve"> N00014-22-1-2396</w:t>
      </w:r>
      <w:r w:rsidRPr="00AE11DF">
        <w:t>. Any opinions, findings, and conclusions or recommendations expressed in this material are those of the author(s) and do not necessarily reflect the views of the funding organizations</w:t>
      </w:r>
      <w:r w:rsidR="00DF125C" w:rsidRPr="003A1A5B">
        <w:t>.</w:t>
      </w:r>
    </w:p>
    <w:p w14:paraId="43A5402A" w14:textId="3893D037" w:rsidR="007B5CF5" w:rsidRPr="003A1A5B" w:rsidRDefault="007B5CF5" w:rsidP="000D1650">
      <w:pPr>
        <w:pStyle w:val="SAGEEPtext"/>
        <w:widowControl w:val="0"/>
        <w:ind w:firstLine="0"/>
      </w:pPr>
    </w:p>
    <w:sectPr w:rsidR="007B5CF5" w:rsidRPr="003A1A5B" w:rsidSect="007D1264">
      <w:headerReference w:type="default" r:id="rId10"/>
      <w:footerReference w:type="even" r:id="rId11"/>
      <w:type w:val="continuous"/>
      <w:pgSz w:w="12240" w:h="15840" w:code="1"/>
      <w:pgMar w:top="1440" w:right="1080" w:bottom="1440" w:left="1080" w:header="720"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06959E" w16cex:dateUtc="2024-12-13T16:14:00Z"/>
  <w16cex:commentExtensible w16cex:durableId="2B06974D" w16cex:dateUtc="2024-12-13T16:21:00Z"/>
  <w16cex:commentExtensible w16cex:durableId="2B0698D8" w16cex:dateUtc="2024-12-13T16: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C3F45" w14:textId="77777777" w:rsidR="000B11DA" w:rsidRDefault="000B11DA">
      <w:r>
        <w:separator/>
      </w:r>
    </w:p>
  </w:endnote>
  <w:endnote w:type="continuationSeparator" w:id="0">
    <w:p w14:paraId="3053F84C" w14:textId="77777777" w:rsidR="000B11DA" w:rsidRDefault="000B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94BE" w14:textId="77777777" w:rsidR="00DE6F87" w:rsidRDefault="00DE6F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4DD3F2D" w14:textId="77777777" w:rsidR="00DE6F87" w:rsidRDefault="00DE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59F08" w14:textId="77777777" w:rsidR="000B11DA" w:rsidRDefault="000B11DA">
      <w:r>
        <w:separator/>
      </w:r>
    </w:p>
  </w:footnote>
  <w:footnote w:type="continuationSeparator" w:id="0">
    <w:p w14:paraId="3A60F8F4" w14:textId="77777777" w:rsidR="000B11DA" w:rsidRDefault="000B1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33E2" w14:textId="6AB26BD7" w:rsidR="00DE6F87" w:rsidRDefault="00DE6F87" w:rsidP="00AB051C">
    <w:pPr>
      <w:pStyle w:val="Footer"/>
      <w:tabs>
        <w:tab w:val="clear" w:pos="8640"/>
        <w:tab w:val="left" w:pos="7938"/>
      </w:tabs>
    </w:pPr>
    <w:r>
      <w:t>S</w:t>
    </w:r>
    <w:r w:rsidR="00E32310">
      <w:t xml:space="preserve">AGEEP </w:t>
    </w:r>
    <w:r w:rsidR="008D49C1">
      <w:t>202</w:t>
    </w:r>
    <w:r w:rsidR="00BD5D70">
      <w:t>5-MRM</w:t>
    </w:r>
    <w:r>
      <w:tab/>
    </w:r>
    <w:r w:rsidR="00BD5D70">
      <w:t xml:space="preserve">Denver, </w:t>
    </w:r>
    <w:proofErr w:type="gramStart"/>
    <w:r w:rsidR="00BD5D70">
      <w:t>Colorado</w:t>
    </w:r>
    <w:r w:rsidR="001D34AE">
      <w:t xml:space="preserve"> </w:t>
    </w:r>
    <w:r>
      <w:t xml:space="preserve"> USA</w:t>
    </w:r>
    <w:proofErr w:type="gramEnd"/>
    <w:r w:rsidR="00AB051C">
      <w:tab/>
    </w:r>
    <w:hyperlink r:id="rId1" w:history="1">
      <w:r w:rsidRPr="0027514E">
        <w:rPr>
          <w:rStyle w:val="Hyperlink"/>
        </w:rPr>
        <w:t>http://www.eegs.org</w:t>
      </w:r>
    </w:hyperlink>
    <w:hyperlink r:id="rId2" w:history="1"/>
  </w:p>
  <w:p w14:paraId="34685100" w14:textId="77777777" w:rsidR="00DE6F87" w:rsidRDefault="00DE6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3220"/>
    <w:multiLevelType w:val="hybridMultilevel"/>
    <w:tmpl w:val="F3C4350A"/>
    <w:lvl w:ilvl="0" w:tplc="4CF6EE4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7255D3"/>
    <w:multiLevelType w:val="hybridMultilevel"/>
    <w:tmpl w:val="A72CE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CC3577"/>
    <w:multiLevelType w:val="hybridMultilevel"/>
    <w:tmpl w:val="B8C4CE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0B3431C"/>
    <w:multiLevelType w:val="hybridMultilevel"/>
    <w:tmpl w:val="96BA09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BF4DF1A-BC63-4B92-AC2E-99526285381B}"/>
    <w:docVar w:name="dgnword-eventsink" w:val="2402606565856"/>
  </w:docVars>
  <w:rsids>
    <w:rsidRoot w:val="00B80D13"/>
    <w:rsid w:val="000032D4"/>
    <w:rsid w:val="00003AE9"/>
    <w:rsid w:val="000103D1"/>
    <w:rsid w:val="00011BCB"/>
    <w:rsid w:val="00016964"/>
    <w:rsid w:val="000225D3"/>
    <w:rsid w:val="000227D1"/>
    <w:rsid w:val="000263BA"/>
    <w:rsid w:val="00046CA1"/>
    <w:rsid w:val="0005140F"/>
    <w:rsid w:val="000531D9"/>
    <w:rsid w:val="00054E81"/>
    <w:rsid w:val="00056100"/>
    <w:rsid w:val="000579F5"/>
    <w:rsid w:val="00063D5F"/>
    <w:rsid w:val="00067ABA"/>
    <w:rsid w:val="00070734"/>
    <w:rsid w:val="00072A4E"/>
    <w:rsid w:val="000749A8"/>
    <w:rsid w:val="00081D58"/>
    <w:rsid w:val="000829DB"/>
    <w:rsid w:val="0008491C"/>
    <w:rsid w:val="00085A30"/>
    <w:rsid w:val="000A0EBA"/>
    <w:rsid w:val="000A4E54"/>
    <w:rsid w:val="000A6297"/>
    <w:rsid w:val="000B11DA"/>
    <w:rsid w:val="000B461E"/>
    <w:rsid w:val="000B4D19"/>
    <w:rsid w:val="000B4D3A"/>
    <w:rsid w:val="000C6B69"/>
    <w:rsid w:val="000C71B5"/>
    <w:rsid w:val="000D1650"/>
    <w:rsid w:val="000D220C"/>
    <w:rsid w:val="000D342C"/>
    <w:rsid w:val="000D5EB1"/>
    <w:rsid w:val="000E54A1"/>
    <w:rsid w:val="000E58D6"/>
    <w:rsid w:val="000E793F"/>
    <w:rsid w:val="000F4856"/>
    <w:rsid w:val="000F5C01"/>
    <w:rsid w:val="00101785"/>
    <w:rsid w:val="00111EA0"/>
    <w:rsid w:val="0012779F"/>
    <w:rsid w:val="00132D05"/>
    <w:rsid w:val="00140154"/>
    <w:rsid w:val="00144AAC"/>
    <w:rsid w:val="00154B43"/>
    <w:rsid w:val="00156603"/>
    <w:rsid w:val="0015709A"/>
    <w:rsid w:val="00165E0F"/>
    <w:rsid w:val="001730F8"/>
    <w:rsid w:val="001768FC"/>
    <w:rsid w:val="001774A8"/>
    <w:rsid w:val="001828F1"/>
    <w:rsid w:val="00182C8B"/>
    <w:rsid w:val="00183D13"/>
    <w:rsid w:val="00185CCE"/>
    <w:rsid w:val="001961F2"/>
    <w:rsid w:val="001A22A9"/>
    <w:rsid w:val="001B342A"/>
    <w:rsid w:val="001B6DD3"/>
    <w:rsid w:val="001C20C6"/>
    <w:rsid w:val="001D34AE"/>
    <w:rsid w:val="001D4510"/>
    <w:rsid w:val="001E087C"/>
    <w:rsid w:val="001E2386"/>
    <w:rsid w:val="001F235D"/>
    <w:rsid w:val="001F59F1"/>
    <w:rsid w:val="002050F7"/>
    <w:rsid w:val="00210465"/>
    <w:rsid w:val="002118E4"/>
    <w:rsid w:val="00211EB8"/>
    <w:rsid w:val="00213A19"/>
    <w:rsid w:val="00213B40"/>
    <w:rsid w:val="00214703"/>
    <w:rsid w:val="00216467"/>
    <w:rsid w:val="00223DD7"/>
    <w:rsid w:val="0022442C"/>
    <w:rsid w:val="0023042E"/>
    <w:rsid w:val="00250EBA"/>
    <w:rsid w:val="00251AD1"/>
    <w:rsid w:val="00256EAD"/>
    <w:rsid w:val="002613F2"/>
    <w:rsid w:val="0026175B"/>
    <w:rsid w:val="002656C6"/>
    <w:rsid w:val="002722F8"/>
    <w:rsid w:val="00272F31"/>
    <w:rsid w:val="00274378"/>
    <w:rsid w:val="0027514E"/>
    <w:rsid w:val="002769A4"/>
    <w:rsid w:val="00277BAA"/>
    <w:rsid w:val="00287B73"/>
    <w:rsid w:val="00292A6E"/>
    <w:rsid w:val="00296140"/>
    <w:rsid w:val="002A266D"/>
    <w:rsid w:val="002A5FA9"/>
    <w:rsid w:val="002A6321"/>
    <w:rsid w:val="002A65F5"/>
    <w:rsid w:val="002A6F6C"/>
    <w:rsid w:val="002B344E"/>
    <w:rsid w:val="002B742F"/>
    <w:rsid w:val="002B7A9E"/>
    <w:rsid w:val="002C0349"/>
    <w:rsid w:val="002C2221"/>
    <w:rsid w:val="002C6B13"/>
    <w:rsid w:val="002D0C14"/>
    <w:rsid w:val="002D1366"/>
    <w:rsid w:val="002D3A8D"/>
    <w:rsid w:val="002E3FD9"/>
    <w:rsid w:val="002E6D62"/>
    <w:rsid w:val="002E7225"/>
    <w:rsid w:val="002F748A"/>
    <w:rsid w:val="00306AC4"/>
    <w:rsid w:val="00307A4B"/>
    <w:rsid w:val="003113D0"/>
    <w:rsid w:val="00313033"/>
    <w:rsid w:val="00321CE5"/>
    <w:rsid w:val="003262E2"/>
    <w:rsid w:val="00326848"/>
    <w:rsid w:val="00326CB5"/>
    <w:rsid w:val="00331E6A"/>
    <w:rsid w:val="003341D3"/>
    <w:rsid w:val="003373E2"/>
    <w:rsid w:val="0034133C"/>
    <w:rsid w:val="00344DF3"/>
    <w:rsid w:val="00351941"/>
    <w:rsid w:val="00363FA4"/>
    <w:rsid w:val="003646D1"/>
    <w:rsid w:val="00365950"/>
    <w:rsid w:val="00376B0D"/>
    <w:rsid w:val="00386CA0"/>
    <w:rsid w:val="00391FE3"/>
    <w:rsid w:val="003A1A5B"/>
    <w:rsid w:val="003A698E"/>
    <w:rsid w:val="003B2B53"/>
    <w:rsid w:val="003B7644"/>
    <w:rsid w:val="003C3ABB"/>
    <w:rsid w:val="003C3C57"/>
    <w:rsid w:val="003C5F77"/>
    <w:rsid w:val="003C67F8"/>
    <w:rsid w:val="003D020A"/>
    <w:rsid w:val="003D570C"/>
    <w:rsid w:val="003D6E54"/>
    <w:rsid w:val="003E2590"/>
    <w:rsid w:val="003F0C8B"/>
    <w:rsid w:val="003F15F3"/>
    <w:rsid w:val="003F3371"/>
    <w:rsid w:val="003F3BC8"/>
    <w:rsid w:val="003F3EA3"/>
    <w:rsid w:val="003F4FA4"/>
    <w:rsid w:val="003F66AF"/>
    <w:rsid w:val="00400CB2"/>
    <w:rsid w:val="00400FC5"/>
    <w:rsid w:val="00401BA4"/>
    <w:rsid w:val="00406314"/>
    <w:rsid w:val="004115C6"/>
    <w:rsid w:val="00420D17"/>
    <w:rsid w:val="00423189"/>
    <w:rsid w:val="00431A14"/>
    <w:rsid w:val="00431A75"/>
    <w:rsid w:val="004320F8"/>
    <w:rsid w:val="00433B52"/>
    <w:rsid w:val="0043525C"/>
    <w:rsid w:val="00437FC1"/>
    <w:rsid w:val="00441F6D"/>
    <w:rsid w:val="004433B1"/>
    <w:rsid w:val="004502BE"/>
    <w:rsid w:val="00450F28"/>
    <w:rsid w:val="00451244"/>
    <w:rsid w:val="00454858"/>
    <w:rsid w:val="004571E6"/>
    <w:rsid w:val="00460DBA"/>
    <w:rsid w:val="00472EC2"/>
    <w:rsid w:val="00473784"/>
    <w:rsid w:val="004768A0"/>
    <w:rsid w:val="00477D7B"/>
    <w:rsid w:val="004851AD"/>
    <w:rsid w:val="00494CE5"/>
    <w:rsid w:val="0049533B"/>
    <w:rsid w:val="00496413"/>
    <w:rsid w:val="004969B5"/>
    <w:rsid w:val="004A52B4"/>
    <w:rsid w:val="004A53AE"/>
    <w:rsid w:val="004A6700"/>
    <w:rsid w:val="004A6EC5"/>
    <w:rsid w:val="004B0FBD"/>
    <w:rsid w:val="004B4EAD"/>
    <w:rsid w:val="004C0552"/>
    <w:rsid w:val="004C2292"/>
    <w:rsid w:val="004C2702"/>
    <w:rsid w:val="004C2E84"/>
    <w:rsid w:val="004C5C7C"/>
    <w:rsid w:val="004D02E0"/>
    <w:rsid w:val="004D08EF"/>
    <w:rsid w:val="004D1400"/>
    <w:rsid w:val="004D5CC4"/>
    <w:rsid w:val="004D6C1D"/>
    <w:rsid w:val="004E0A6A"/>
    <w:rsid w:val="004E70DD"/>
    <w:rsid w:val="004F2D85"/>
    <w:rsid w:val="004F4D86"/>
    <w:rsid w:val="004F63BE"/>
    <w:rsid w:val="004F7EE2"/>
    <w:rsid w:val="005041C2"/>
    <w:rsid w:val="00505745"/>
    <w:rsid w:val="005104D8"/>
    <w:rsid w:val="00512A98"/>
    <w:rsid w:val="00513111"/>
    <w:rsid w:val="00516DC7"/>
    <w:rsid w:val="00517FDD"/>
    <w:rsid w:val="00526DE2"/>
    <w:rsid w:val="005310FD"/>
    <w:rsid w:val="00532684"/>
    <w:rsid w:val="00536AED"/>
    <w:rsid w:val="00540F29"/>
    <w:rsid w:val="005523C4"/>
    <w:rsid w:val="0056405C"/>
    <w:rsid w:val="005658F8"/>
    <w:rsid w:val="00587A9C"/>
    <w:rsid w:val="005914A3"/>
    <w:rsid w:val="00597120"/>
    <w:rsid w:val="005A2FDE"/>
    <w:rsid w:val="005B6098"/>
    <w:rsid w:val="005B7337"/>
    <w:rsid w:val="005D760A"/>
    <w:rsid w:val="005F10E4"/>
    <w:rsid w:val="005F4F87"/>
    <w:rsid w:val="005F7626"/>
    <w:rsid w:val="006036D4"/>
    <w:rsid w:val="00610519"/>
    <w:rsid w:val="00611AA2"/>
    <w:rsid w:val="00612402"/>
    <w:rsid w:val="006174BB"/>
    <w:rsid w:val="00617A12"/>
    <w:rsid w:val="006209D1"/>
    <w:rsid w:val="006227C6"/>
    <w:rsid w:val="006249A5"/>
    <w:rsid w:val="0062567B"/>
    <w:rsid w:val="00625DFE"/>
    <w:rsid w:val="00627EB5"/>
    <w:rsid w:val="00631C85"/>
    <w:rsid w:val="00642523"/>
    <w:rsid w:val="00645C92"/>
    <w:rsid w:val="00652E3B"/>
    <w:rsid w:val="00653D85"/>
    <w:rsid w:val="006609E8"/>
    <w:rsid w:val="00664DF8"/>
    <w:rsid w:val="00672344"/>
    <w:rsid w:val="00675115"/>
    <w:rsid w:val="00685C38"/>
    <w:rsid w:val="00686F46"/>
    <w:rsid w:val="006876E2"/>
    <w:rsid w:val="00693768"/>
    <w:rsid w:val="006942F3"/>
    <w:rsid w:val="0069481A"/>
    <w:rsid w:val="00697141"/>
    <w:rsid w:val="006A034D"/>
    <w:rsid w:val="006A765E"/>
    <w:rsid w:val="006C0C21"/>
    <w:rsid w:val="006C6E9C"/>
    <w:rsid w:val="006D01EF"/>
    <w:rsid w:val="006D2077"/>
    <w:rsid w:val="006D6E6B"/>
    <w:rsid w:val="006E0505"/>
    <w:rsid w:val="006E0D56"/>
    <w:rsid w:val="006E120B"/>
    <w:rsid w:val="006E2671"/>
    <w:rsid w:val="006F45A4"/>
    <w:rsid w:val="006F6764"/>
    <w:rsid w:val="0070120F"/>
    <w:rsid w:val="00705B9C"/>
    <w:rsid w:val="007126DC"/>
    <w:rsid w:val="00714D72"/>
    <w:rsid w:val="007156D0"/>
    <w:rsid w:val="00732724"/>
    <w:rsid w:val="0073408A"/>
    <w:rsid w:val="00740D3F"/>
    <w:rsid w:val="007415A7"/>
    <w:rsid w:val="0074416E"/>
    <w:rsid w:val="007513DA"/>
    <w:rsid w:val="00755BA2"/>
    <w:rsid w:val="00770047"/>
    <w:rsid w:val="0077201F"/>
    <w:rsid w:val="00774EF9"/>
    <w:rsid w:val="00776973"/>
    <w:rsid w:val="00776E54"/>
    <w:rsid w:val="00782266"/>
    <w:rsid w:val="007822C6"/>
    <w:rsid w:val="00783355"/>
    <w:rsid w:val="007A3814"/>
    <w:rsid w:val="007B1C8D"/>
    <w:rsid w:val="007B5CF5"/>
    <w:rsid w:val="007B6C2A"/>
    <w:rsid w:val="007C3EEB"/>
    <w:rsid w:val="007D1264"/>
    <w:rsid w:val="007D2853"/>
    <w:rsid w:val="007D5766"/>
    <w:rsid w:val="007D6DDF"/>
    <w:rsid w:val="007E4E62"/>
    <w:rsid w:val="007F679C"/>
    <w:rsid w:val="00802856"/>
    <w:rsid w:val="008139DD"/>
    <w:rsid w:val="00814248"/>
    <w:rsid w:val="00820980"/>
    <w:rsid w:val="0082322E"/>
    <w:rsid w:val="00824CBC"/>
    <w:rsid w:val="00824F17"/>
    <w:rsid w:val="0083199E"/>
    <w:rsid w:val="00835A17"/>
    <w:rsid w:val="0084265D"/>
    <w:rsid w:val="00844458"/>
    <w:rsid w:val="00846DA3"/>
    <w:rsid w:val="008564D7"/>
    <w:rsid w:val="0085657B"/>
    <w:rsid w:val="0087243C"/>
    <w:rsid w:val="008760F7"/>
    <w:rsid w:val="00876D3D"/>
    <w:rsid w:val="00877410"/>
    <w:rsid w:val="008809BD"/>
    <w:rsid w:val="00882FBF"/>
    <w:rsid w:val="008913E3"/>
    <w:rsid w:val="00895A4F"/>
    <w:rsid w:val="00896AD8"/>
    <w:rsid w:val="008A1228"/>
    <w:rsid w:val="008A4F35"/>
    <w:rsid w:val="008A66F3"/>
    <w:rsid w:val="008C0DB3"/>
    <w:rsid w:val="008C50E1"/>
    <w:rsid w:val="008C6E00"/>
    <w:rsid w:val="008C7B7B"/>
    <w:rsid w:val="008D06F4"/>
    <w:rsid w:val="008D3D43"/>
    <w:rsid w:val="008D49C1"/>
    <w:rsid w:val="008D61E7"/>
    <w:rsid w:val="008D6EC7"/>
    <w:rsid w:val="008E6BFA"/>
    <w:rsid w:val="008F275E"/>
    <w:rsid w:val="008F6BFB"/>
    <w:rsid w:val="008F6C97"/>
    <w:rsid w:val="008F79C6"/>
    <w:rsid w:val="009031B7"/>
    <w:rsid w:val="00910223"/>
    <w:rsid w:val="00910240"/>
    <w:rsid w:val="00912F4B"/>
    <w:rsid w:val="009139B4"/>
    <w:rsid w:val="00921FD1"/>
    <w:rsid w:val="00930037"/>
    <w:rsid w:val="00933156"/>
    <w:rsid w:val="00933194"/>
    <w:rsid w:val="00936C93"/>
    <w:rsid w:val="00937A52"/>
    <w:rsid w:val="00943B41"/>
    <w:rsid w:val="00955901"/>
    <w:rsid w:val="009653D7"/>
    <w:rsid w:val="00966E83"/>
    <w:rsid w:val="00973270"/>
    <w:rsid w:val="00986569"/>
    <w:rsid w:val="00986750"/>
    <w:rsid w:val="00987C1A"/>
    <w:rsid w:val="009A0512"/>
    <w:rsid w:val="009A2C24"/>
    <w:rsid w:val="009A3A5A"/>
    <w:rsid w:val="009A6F85"/>
    <w:rsid w:val="009B6AC0"/>
    <w:rsid w:val="009C3320"/>
    <w:rsid w:val="009C3AD2"/>
    <w:rsid w:val="009C4371"/>
    <w:rsid w:val="009C4FEF"/>
    <w:rsid w:val="009D1867"/>
    <w:rsid w:val="009D61B3"/>
    <w:rsid w:val="009F7EB2"/>
    <w:rsid w:val="00A01100"/>
    <w:rsid w:val="00A059C2"/>
    <w:rsid w:val="00A05DFC"/>
    <w:rsid w:val="00A12436"/>
    <w:rsid w:val="00A126FA"/>
    <w:rsid w:val="00A14952"/>
    <w:rsid w:val="00A20E41"/>
    <w:rsid w:val="00A211A1"/>
    <w:rsid w:val="00A22224"/>
    <w:rsid w:val="00A2434B"/>
    <w:rsid w:val="00A25FAC"/>
    <w:rsid w:val="00A333C4"/>
    <w:rsid w:val="00A33DE6"/>
    <w:rsid w:val="00A355F4"/>
    <w:rsid w:val="00A35F0C"/>
    <w:rsid w:val="00A37124"/>
    <w:rsid w:val="00A444E2"/>
    <w:rsid w:val="00A5040B"/>
    <w:rsid w:val="00A53AA0"/>
    <w:rsid w:val="00A53E24"/>
    <w:rsid w:val="00A80F1F"/>
    <w:rsid w:val="00A845A9"/>
    <w:rsid w:val="00A86CFA"/>
    <w:rsid w:val="00A962A7"/>
    <w:rsid w:val="00AA0634"/>
    <w:rsid w:val="00AA238F"/>
    <w:rsid w:val="00AA373E"/>
    <w:rsid w:val="00AB051C"/>
    <w:rsid w:val="00AB405B"/>
    <w:rsid w:val="00AB4DE7"/>
    <w:rsid w:val="00AB5069"/>
    <w:rsid w:val="00AB581E"/>
    <w:rsid w:val="00AE11DF"/>
    <w:rsid w:val="00AF353E"/>
    <w:rsid w:val="00AF55EB"/>
    <w:rsid w:val="00AF5800"/>
    <w:rsid w:val="00B04970"/>
    <w:rsid w:val="00B06FBE"/>
    <w:rsid w:val="00B1007F"/>
    <w:rsid w:val="00B173B2"/>
    <w:rsid w:val="00B21769"/>
    <w:rsid w:val="00B21807"/>
    <w:rsid w:val="00B23F94"/>
    <w:rsid w:val="00B30C2E"/>
    <w:rsid w:val="00B31E3D"/>
    <w:rsid w:val="00B370B6"/>
    <w:rsid w:val="00B42A84"/>
    <w:rsid w:val="00B4317C"/>
    <w:rsid w:val="00B53E07"/>
    <w:rsid w:val="00B567E6"/>
    <w:rsid w:val="00B72A6A"/>
    <w:rsid w:val="00B74179"/>
    <w:rsid w:val="00B77777"/>
    <w:rsid w:val="00B80D13"/>
    <w:rsid w:val="00B80D7B"/>
    <w:rsid w:val="00B82EF9"/>
    <w:rsid w:val="00B8763F"/>
    <w:rsid w:val="00B92872"/>
    <w:rsid w:val="00B95B1A"/>
    <w:rsid w:val="00B96D8E"/>
    <w:rsid w:val="00B9797F"/>
    <w:rsid w:val="00BB0013"/>
    <w:rsid w:val="00BB2A16"/>
    <w:rsid w:val="00BB7852"/>
    <w:rsid w:val="00BC6383"/>
    <w:rsid w:val="00BD04D4"/>
    <w:rsid w:val="00BD2D7C"/>
    <w:rsid w:val="00BD5D70"/>
    <w:rsid w:val="00BE076D"/>
    <w:rsid w:val="00BE0778"/>
    <w:rsid w:val="00BE30AB"/>
    <w:rsid w:val="00BE4C7E"/>
    <w:rsid w:val="00BE7F1B"/>
    <w:rsid w:val="00BF1988"/>
    <w:rsid w:val="00C04312"/>
    <w:rsid w:val="00C06FF5"/>
    <w:rsid w:val="00C075A3"/>
    <w:rsid w:val="00C13DED"/>
    <w:rsid w:val="00C1412C"/>
    <w:rsid w:val="00C24FFF"/>
    <w:rsid w:val="00C2643F"/>
    <w:rsid w:val="00C27912"/>
    <w:rsid w:val="00C3049D"/>
    <w:rsid w:val="00C3114E"/>
    <w:rsid w:val="00C31166"/>
    <w:rsid w:val="00C37A05"/>
    <w:rsid w:val="00C41603"/>
    <w:rsid w:val="00C46916"/>
    <w:rsid w:val="00C4795D"/>
    <w:rsid w:val="00C47B5E"/>
    <w:rsid w:val="00C542A7"/>
    <w:rsid w:val="00C56037"/>
    <w:rsid w:val="00C63D48"/>
    <w:rsid w:val="00C64F53"/>
    <w:rsid w:val="00C71071"/>
    <w:rsid w:val="00C73DD5"/>
    <w:rsid w:val="00C74414"/>
    <w:rsid w:val="00C746BE"/>
    <w:rsid w:val="00C75434"/>
    <w:rsid w:val="00C80D3B"/>
    <w:rsid w:val="00C81066"/>
    <w:rsid w:val="00C9009F"/>
    <w:rsid w:val="00C90EE5"/>
    <w:rsid w:val="00C96F7F"/>
    <w:rsid w:val="00CA0956"/>
    <w:rsid w:val="00CB7900"/>
    <w:rsid w:val="00CC06CB"/>
    <w:rsid w:val="00CC63F4"/>
    <w:rsid w:val="00CD04A5"/>
    <w:rsid w:val="00CD228E"/>
    <w:rsid w:val="00CD22DD"/>
    <w:rsid w:val="00CD6422"/>
    <w:rsid w:val="00CE08E6"/>
    <w:rsid w:val="00CE4CD8"/>
    <w:rsid w:val="00CF7C1E"/>
    <w:rsid w:val="00D10F22"/>
    <w:rsid w:val="00D12348"/>
    <w:rsid w:val="00D12585"/>
    <w:rsid w:val="00D127AE"/>
    <w:rsid w:val="00D23AC1"/>
    <w:rsid w:val="00D2410E"/>
    <w:rsid w:val="00D327C4"/>
    <w:rsid w:val="00D32AB0"/>
    <w:rsid w:val="00D32AF0"/>
    <w:rsid w:val="00D45EDE"/>
    <w:rsid w:val="00D52533"/>
    <w:rsid w:val="00D5412A"/>
    <w:rsid w:val="00D56BB3"/>
    <w:rsid w:val="00D57E88"/>
    <w:rsid w:val="00D62DE9"/>
    <w:rsid w:val="00D6529C"/>
    <w:rsid w:val="00D7255A"/>
    <w:rsid w:val="00D7481D"/>
    <w:rsid w:val="00D7489C"/>
    <w:rsid w:val="00D75B4B"/>
    <w:rsid w:val="00D830A8"/>
    <w:rsid w:val="00D93146"/>
    <w:rsid w:val="00DA341B"/>
    <w:rsid w:val="00DA3758"/>
    <w:rsid w:val="00DB56DA"/>
    <w:rsid w:val="00DC2C27"/>
    <w:rsid w:val="00DC608E"/>
    <w:rsid w:val="00DD3240"/>
    <w:rsid w:val="00DD5712"/>
    <w:rsid w:val="00DD61F2"/>
    <w:rsid w:val="00DE32E3"/>
    <w:rsid w:val="00DE442F"/>
    <w:rsid w:val="00DE4D1F"/>
    <w:rsid w:val="00DE6F87"/>
    <w:rsid w:val="00DF078F"/>
    <w:rsid w:val="00DF125C"/>
    <w:rsid w:val="00DF3A44"/>
    <w:rsid w:val="00DF429A"/>
    <w:rsid w:val="00E02DC6"/>
    <w:rsid w:val="00E0636A"/>
    <w:rsid w:val="00E166FE"/>
    <w:rsid w:val="00E16E03"/>
    <w:rsid w:val="00E2243D"/>
    <w:rsid w:val="00E271A0"/>
    <w:rsid w:val="00E32310"/>
    <w:rsid w:val="00E35AFE"/>
    <w:rsid w:val="00E40C22"/>
    <w:rsid w:val="00E432EC"/>
    <w:rsid w:val="00E476A7"/>
    <w:rsid w:val="00E553CC"/>
    <w:rsid w:val="00E604A3"/>
    <w:rsid w:val="00E712D3"/>
    <w:rsid w:val="00E7690F"/>
    <w:rsid w:val="00E85EA4"/>
    <w:rsid w:val="00E94052"/>
    <w:rsid w:val="00EA7457"/>
    <w:rsid w:val="00EB0FA7"/>
    <w:rsid w:val="00EB4A05"/>
    <w:rsid w:val="00EC2EC8"/>
    <w:rsid w:val="00ED51C7"/>
    <w:rsid w:val="00ED79AD"/>
    <w:rsid w:val="00EE2156"/>
    <w:rsid w:val="00EE5CAA"/>
    <w:rsid w:val="00EE7790"/>
    <w:rsid w:val="00EF1B7C"/>
    <w:rsid w:val="00EF3BA6"/>
    <w:rsid w:val="00EF574A"/>
    <w:rsid w:val="00F0376E"/>
    <w:rsid w:val="00F05023"/>
    <w:rsid w:val="00F107BB"/>
    <w:rsid w:val="00F1099C"/>
    <w:rsid w:val="00F14013"/>
    <w:rsid w:val="00F146ED"/>
    <w:rsid w:val="00F320DF"/>
    <w:rsid w:val="00F32573"/>
    <w:rsid w:val="00F327D5"/>
    <w:rsid w:val="00F363E4"/>
    <w:rsid w:val="00F372CB"/>
    <w:rsid w:val="00F4209A"/>
    <w:rsid w:val="00F45D4B"/>
    <w:rsid w:val="00F54634"/>
    <w:rsid w:val="00F55B90"/>
    <w:rsid w:val="00F5754C"/>
    <w:rsid w:val="00F61FC8"/>
    <w:rsid w:val="00F640CC"/>
    <w:rsid w:val="00F725A7"/>
    <w:rsid w:val="00F73898"/>
    <w:rsid w:val="00F8273C"/>
    <w:rsid w:val="00F83B4D"/>
    <w:rsid w:val="00F857D1"/>
    <w:rsid w:val="00FB21A7"/>
    <w:rsid w:val="00FB2ABA"/>
    <w:rsid w:val="00FB6DE6"/>
    <w:rsid w:val="00FC1FD3"/>
    <w:rsid w:val="00FD132B"/>
    <w:rsid w:val="00FD1BD6"/>
    <w:rsid w:val="00FD3661"/>
    <w:rsid w:val="00FD690B"/>
    <w:rsid w:val="00FE0335"/>
    <w:rsid w:val="00FE20D7"/>
    <w:rsid w:val="00FE2AA1"/>
    <w:rsid w:val="00FE7691"/>
    <w:rsid w:val="00FF2426"/>
    <w:rsid w:val="00FF65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2D5427"/>
  <w15:docId w15:val="{3483D711-5EAD-475C-A3CA-6305740C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sz w:val="24"/>
      <w:szCs w:val="24"/>
      <w:lang w:val="en-US" w:eastAsia="en-US"/>
    </w:rPr>
  </w:style>
  <w:style w:type="paragraph" w:styleId="Heading1">
    <w:name w:val="heading 1"/>
    <w:basedOn w:val="Normal"/>
    <w:next w:val="Normal"/>
    <w:qFormat/>
    <w:pPr>
      <w:keepNext/>
      <w:spacing w:before="100" w:beforeAutospacing="1" w:after="240"/>
      <w:jc w:val="center"/>
      <w:outlineLvl w:val="0"/>
    </w:pPr>
    <w:rPr>
      <w:rFonts w:cs="Arial"/>
      <w:b/>
      <w:bCs/>
      <w:caps/>
      <w:kern w:val="32"/>
      <w:sz w:val="28"/>
      <w:szCs w:val="32"/>
    </w:rPr>
  </w:style>
  <w:style w:type="paragraph" w:styleId="Heading2">
    <w:name w:val="heading 2"/>
    <w:basedOn w:val="Normal"/>
    <w:next w:val="Normal"/>
    <w:qFormat/>
    <w:pPr>
      <w:keepNext/>
      <w:spacing w:after="240"/>
      <w:jc w:val="center"/>
      <w:outlineLvl w:val="1"/>
    </w:pPr>
    <w:rPr>
      <w:rFonts w:cs="Arial"/>
      <w:b/>
      <w:bCs/>
      <w:iCs/>
      <w:sz w:val="28"/>
      <w:szCs w:val="28"/>
    </w:rPr>
  </w:style>
  <w:style w:type="paragraph" w:styleId="Heading3">
    <w:name w:val="heading 3"/>
    <w:basedOn w:val="Normal"/>
    <w:next w:val="Normal"/>
    <w:qFormat/>
    <w:pPr>
      <w:keepNext/>
      <w:outlineLvl w:val="2"/>
    </w:pPr>
    <w:rPr>
      <w:rFonts w:cs="Arial"/>
      <w:b/>
      <w:bCs/>
      <w:i/>
      <w:szCs w:val="26"/>
    </w:rPr>
  </w:style>
  <w:style w:type="paragraph" w:styleId="Heading4">
    <w:name w:val="heading 4"/>
    <w:basedOn w:val="Normal"/>
    <w:next w:val="Normal"/>
    <w:qFormat/>
    <w:pPr>
      <w:keepNext/>
      <w:jc w:val="center"/>
      <w:outlineLvl w:val="3"/>
    </w:pPr>
    <w:rPr>
      <w:b/>
      <w:sz w:val="21"/>
    </w:rPr>
  </w:style>
  <w:style w:type="paragraph" w:styleId="Heading5">
    <w:name w:val="heading 5"/>
    <w:basedOn w:val="Normal"/>
    <w:next w:val="Normal"/>
    <w:qFormat/>
    <w:pPr>
      <w:keepNext/>
      <w:outlineLvl w:val="4"/>
    </w:pPr>
    <w:rPr>
      <w:b/>
      <w:sz w:val="21"/>
    </w:rPr>
  </w:style>
  <w:style w:type="paragraph" w:styleId="Heading6">
    <w:name w:val="heading 6"/>
    <w:basedOn w:val="Normal"/>
    <w:next w:val="Normal"/>
    <w:qFormat/>
    <w:pPr>
      <w:keepNext/>
      <w:pBdr>
        <w:top w:val="single" w:sz="4" w:space="1" w:color="auto"/>
        <w:left w:val="single" w:sz="4" w:space="0" w:color="auto"/>
        <w:bottom w:val="single" w:sz="4" w:space="1" w:color="auto"/>
        <w:right w:val="single" w:sz="4" w:space="4" w:color="auto"/>
      </w:pBdr>
      <w:tabs>
        <w:tab w:val="right" w:pos="6639"/>
      </w:tabs>
      <w:outlineLvl w:val="5"/>
    </w:pPr>
    <w:rPr>
      <w:sz w:val="49"/>
    </w:rPr>
  </w:style>
  <w:style w:type="paragraph" w:styleId="Heading7">
    <w:name w:val="heading 7"/>
    <w:basedOn w:val="Normal"/>
    <w:next w:val="Normal"/>
    <w:qFormat/>
    <w:pPr>
      <w:keepNext/>
      <w:tabs>
        <w:tab w:val="right" w:pos="6639"/>
      </w:tabs>
      <w:ind w:left="2092"/>
      <w:outlineLvl w:val="6"/>
    </w:pPr>
    <w:rPr>
      <w:sz w:val="49"/>
      <w:u w:val="single"/>
    </w:rPr>
  </w:style>
  <w:style w:type="paragraph" w:styleId="Heading8">
    <w:name w:val="heading 8"/>
    <w:basedOn w:val="Normal"/>
    <w:next w:val="Normal"/>
    <w:qFormat/>
    <w:pPr>
      <w:keepNext/>
      <w:tabs>
        <w:tab w:val="left" w:pos="2160"/>
        <w:tab w:val="right" w:pos="6639"/>
      </w:tabs>
      <w:outlineLvl w:val="7"/>
    </w:pPr>
    <w:rPr>
      <w:sz w:val="49"/>
    </w:rPr>
  </w:style>
  <w:style w:type="paragraph" w:styleId="Heading9">
    <w:name w:val="heading 9"/>
    <w:basedOn w:val="Normal"/>
    <w:next w:val="Normal"/>
    <w:qFormat/>
    <w:pPr>
      <w:keepNext/>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customStyle="1" w:styleId="SAGEEPauthors">
    <w:name w:val="SAGEEP authors"/>
    <w:basedOn w:val="Normal"/>
    <w:pPr>
      <w:spacing w:after="480"/>
      <w:jc w:val="center"/>
    </w:pPr>
    <w:rPr>
      <w:i/>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SAGEEPtext">
    <w:name w:val="SAGEEP text"/>
    <w:basedOn w:val="Normal"/>
    <w:pPr>
      <w:ind w:firstLine="720"/>
    </w:pPr>
  </w:style>
  <w:style w:type="paragraph" w:customStyle="1" w:styleId="SAGEEPreference">
    <w:name w:val="SAGEEP reference"/>
    <w:basedOn w:val="SAGEEPtext"/>
    <w:pPr>
      <w:ind w:left="720" w:hanging="720"/>
      <w:jc w:val="left"/>
    </w:pPr>
  </w:style>
  <w:style w:type="paragraph" w:customStyle="1" w:styleId="SAGEEPtitle">
    <w:name w:val="SAGEEP title"/>
    <w:basedOn w:val="Heading1"/>
  </w:style>
  <w:style w:type="paragraph" w:customStyle="1" w:styleId="SAGEEPheading">
    <w:name w:val="SAGEEP heading"/>
    <w:basedOn w:val="Heading2"/>
  </w:style>
  <w:style w:type="paragraph" w:customStyle="1" w:styleId="SAGEEPsubheading">
    <w:name w:val="SAGEEP subheading"/>
    <w:basedOn w:val="Heading3"/>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AGEEPfigure">
    <w:name w:val="SAGEEP figure"/>
    <w:basedOn w:val="SAGEEPtext"/>
    <w:pPr>
      <w:ind w:firstLine="0"/>
      <w:jc w:val="left"/>
    </w:pPr>
    <w:rPr>
      <w:bCs/>
    </w:rPr>
  </w:style>
  <w:style w:type="paragraph" w:styleId="BodyTextIndent">
    <w:name w:val="Body Text Indent"/>
    <w:basedOn w:val="Normal"/>
    <w:pPr>
      <w:tabs>
        <w:tab w:val="left" w:pos="360"/>
        <w:tab w:val="left" w:pos="720"/>
        <w:tab w:val="left" w:pos="1818"/>
      </w:tabs>
      <w:ind w:firstLine="360"/>
    </w:pPr>
    <w:rPr>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rsid w:val="003F3EA3"/>
    <w:rPr>
      <w:b/>
      <w:bCs/>
    </w:rPr>
  </w:style>
  <w:style w:type="character" w:customStyle="1" w:styleId="CommentTextChar">
    <w:name w:val="Comment Text Char"/>
    <w:basedOn w:val="DefaultParagraphFont"/>
    <w:link w:val="CommentText"/>
    <w:semiHidden/>
    <w:rsid w:val="003F3EA3"/>
  </w:style>
  <w:style w:type="character" w:customStyle="1" w:styleId="CommentSubjectChar">
    <w:name w:val="Comment Subject Char"/>
    <w:basedOn w:val="CommentTextChar"/>
    <w:link w:val="CommentSubject"/>
    <w:rsid w:val="003F3EA3"/>
  </w:style>
  <w:style w:type="paragraph" w:styleId="Revision">
    <w:name w:val="Revision"/>
    <w:hidden/>
    <w:uiPriority w:val="99"/>
    <w:semiHidden/>
    <w:rsid w:val="00165E0F"/>
    <w:rPr>
      <w:sz w:val="24"/>
      <w:szCs w:val="24"/>
      <w:lang w:val="en-US" w:eastAsia="en-US"/>
    </w:rPr>
  </w:style>
  <w:style w:type="character" w:customStyle="1" w:styleId="UnresolvedMention1">
    <w:name w:val="Unresolved Mention1"/>
    <w:basedOn w:val="DefaultParagraphFont"/>
    <w:uiPriority w:val="99"/>
    <w:semiHidden/>
    <w:unhideWhenUsed/>
    <w:rsid w:val="00642523"/>
    <w:rPr>
      <w:color w:val="605E5C"/>
      <w:shd w:val="clear" w:color="auto" w:fill="E1DFDD"/>
    </w:rPr>
  </w:style>
  <w:style w:type="table" w:styleId="TableGrid">
    <w:name w:val="Table Grid"/>
    <w:basedOn w:val="TableNormal"/>
    <w:rsid w:val="00E16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6AC4"/>
    <w:rPr>
      <w:color w:val="605E5C"/>
      <w:shd w:val="clear" w:color="auto" w:fill="E1DFDD"/>
    </w:rPr>
  </w:style>
  <w:style w:type="paragraph" w:styleId="Bibliography">
    <w:name w:val="Bibliography"/>
    <w:basedOn w:val="Normal"/>
    <w:next w:val="Normal"/>
    <w:uiPriority w:val="37"/>
    <w:unhideWhenUsed/>
    <w:rsid w:val="00E553CC"/>
    <w:pPr>
      <w:ind w:left="720" w:hanging="720"/>
    </w:pPr>
  </w:style>
  <w:style w:type="character" w:customStyle="1" w:styleId="FooterChar">
    <w:name w:val="Footer Char"/>
    <w:basedOn w:val="DefaultParagraphFont"/>
    <w:link w:val="Footer"/>
    <w:rsid w:val="00D10F22"/>
    <w:rPr>
      <w:sz w:val="24"/>
      <w:szCs w:val="24"/>
      <w:lang w:val="en-US" w:eastAsia="en-US"/>
    </w:rPr>
  </w:style>
  <w:style w:type="paragraph" w:styleId="Caption">
    <w:name w:val="caption"/>
    <w:basedOn w:val="Normal"/>
    <w:next w:val="Normal"/>
    <w:unhideWhenUsed/>
    <w:qFormat/>
    <w:rsid w:val="001730F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eegs.org/" TargetMode="External"/><Relationship Id="rId1" Type="http://schemas.openxmlformats.org/officeDocument/2006/relationships/hyperlink" Target="http://www.ee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9CBB4-EA99-4D40-B003-B7524E60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Formatting your paper-06.doc</vt:lpstr>
    </vt:vector>
  </TitlesOfParts>
  <Company>Unknown Organization</Company>
  <LinksUpToDate>false</LinksUpToDate>
  <CharactersWithSpaces>19135</CharactersWithSpaces>
  <SharedDoc>false</SharedDoc>
  <HLinks>
    <vt:vector size="36" baseType="variant">
      <vt:variant>
        <vt:i4>3276802</vt:i4>
      </vt:variant>
      <vt:variant>
        <vt:i4>9</vt:i4>
      </vt:variant>
      <vt:variant>
        <vt:i4>0</vt:i4>
      </vt:variant>
      <vt:variant>
        <vt:i4>5</vt:i4>
      </vt:variant>
      <vt:variant>
        <vt:lpwstr>mailto:aparseki@uwyo.edu</vt:lpwstr>
      </vt:variant>
      <vt:variant>
        <vt:lpwstr/>
      </vt:variant>
      <vt:variant>
        <vt:i4>2228327</vt:i4>
      </vt:variant>
      <vt:variant>
        <vt:i4>6</vt:i4>
      </vt:variant>
      <vt:variant>
        <vt:i4>0</vt:i4>
      </vt:variant>
      <vt:variant>
        <vt:i4>5</vt:i4>
      </vt:variant>
      <vt:variant>
        <vt:lpwstr>https://enengs.memberclicks.net/sageep-2018-sessions-abstracts</vt:lpwstr>
      </vt:variant>
      <vt:variant>
        <vt:lpwstr/>
      </vt:variant>
      <vt:variant>
        <vt:i4>2621550</vt:i4>
      </vt:variant>
      <vt:variant>
        <vt:i4>3</vt:i4>
      </vt:variant>
      <vt:variant>
        <vt:i4>0</vt:i4>
      </vt:variant>
      <vt:variant>
        <vt:i4>5</vt:i4>
      </vt:variant>
      <vt:variant>
        <vt:lpwstr>http://www.adobe.com/products/acrobat/adobepdf.html</vt:lpwstr>
      </vt:variant>
      <vt:variant>
        <vt:lpwstr/>
      </vt:variant>
      <vt:variant>
        <vt:i4>7077927</vt:i4>
      </vt:variant>
      <vt:variant>
        <vt:i4>0</vt:i4>
      </vt:variant>
      <vt:variant>
        <vt:i4>0</vt:i4>
      </vt:variant>
      <vt:variant>
        <vt:i4>5</vt:i4>
      </vt:variant>
      <vt:variant>
        <vt:lpwstr>https://www.xcdsystem.com/sageep/abstract/index.cfm?ID=EFE4e5i</vt:lpwstr>
      </vt:variant>
      <vt:variant>
        <vt:lpwstr/>
      </vt:variant>
      <vt:variant>
        <vt:i4>5898318</vt:i4>
      </vt:variant>
      <vt:variant>
        <vt:i4>3</vt:i4>
      </vt:variant>
      <vt:variant>
        <vt:i4>0</vt:i4>
      </vt:variant>
      <vt:variant>
        <vt:i4>5</vt:i4>
      </vt:variant>
      <vt:variant>
        <vt:lpwstr>http://www.eegs.org/</vt:lpwstr>
      </vt:variant>
      <vt:variant>
        <vt:lpwstr/>
      </vt:variant>
      <vt:variant>
        <vt:i4>5898318</vt:i4>
      </vt:variant>
      <vt:variant>
        <vt:i4>0</vt:i4>
      </vt:variant>
      <vt:variant>
        <vt:i4>0</vt:i4>
      </vt:variant>
      <vt:variant>
        <vt:i4>5</vt:i4>
      </vt:variant>
      <vt:variant>
        <vt:lpwstr>http://www.eegs.org/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your paper-06.doc</dc:title>
  <dc:subject>instructions to authors</dc:subject>
  <dc:creator>abstracts@eage.org</dc:creator>
  <cp:lastModifiedBy>Maximilian A. Orman-Kollmar</cp:lastModifiedBy>
  <cp:revision>35</cp:revision>
  <cp:lastPrinted>2018-08-17T12:51:00Z</cp:lastPrinted>
  <dcterms:created xsi:type="dcterms:W3CDTF">2024-12-20T15:15:00Z</dcterms:created>
  <dcterms:modified xsi:type="dcterms:W3CDTF">2025-01-22T23:34:00Z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id="GrIjRq67"/&gt;&lt;style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y fmtid="{D5CDD505-2E9C-101B-9397-08002B2CF9AE}" pid="4" name="GrammarlyDocumentId">
    <vt:lpwstr>8a4e258a6b176891cd277a3c137c84c382aac31a295a5939f45c08f4652bb3d2</vt:lpwstr>
  </property>
</Properties>
</file>