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A6BA" w14:textId="4FB19028" w:rsidR="001774A8" w:rsidRDefault="00ED0C84" w:rsidP="008E3A81">
      <w:pPr>
        <w:pStyle w:val="SAGEEPtitle"/>
      </w:pPr>
      <w:r>
        <w:t>On the Interpretation of High Resolution Induced Polarization Data observed on a Graphite Anomaly in the Bavarian Forest/Germany</w:t>
      </w:r>
    </w:p>
    <w:p w14:paraId="07D8FEE5" w14:textId="77777777" w:rsidR="00D5590A" w:rsidRPr="00944AC7" w:rsidRDefault="00D5590A" w:rsidP="00D5590A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6A3DB23C" w14:textId="5E66DF13" w:rsidR="00D5590A" w:rsidRDefault="00B53F86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proofErr w:type="spellStart"/>
      <w:proofErr w:type="gramStart"/>
      <w:r>
        <w:rPr>
          <w:b w:val="0"/>
          <w:bCs w:val="0"/>
          <w:i/>
          <w:iCs w:val="0"/>
          <w:color w:val="000000"/>
          <w:sz w:val="24"/>
          <w:szCs w:val="24"/>
        </w:rPr>
        <w:t>B.Tezkan</w:t>
      </w:r>
      <w:proofErr w:type="spellEnd"/>
      <w:proofErr w:type="gramEnd"/>
      <w:r w:rsidR="00D5590A" w:rsidRP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proofErr w:type="spellStart"/>
      <w:r>
        <w:rPr>
          <w:b w:val="0"/>
          <w:bCs w:val="0"/>
          <w:i/>
          <w:iCs w:val="0"/>
          <w:color w:val="000000"/>
          <w:sz w:val="24"/>
          <w:szCs w:val="24"/>
        </w:rPr>
        <w:t>Instititute</w:t>
      </w:r>
      <w:proofErr w:type="spellEnd"/>
      <w:r>
        <w:rPr>
          <w:b w:val="0"/>
          <w:bCs w:val="0"/>
          <w:i/>
          <w:iCs w:val="0"/>
          <w:color w:val="000000"/>
          <w:sz w:val="24"/>
          <w:szCs w:val="24"/>
        </w:rPr>
        <w:t xml:space="preserve"> of Geophysics and Meteorology, University of Cologne, Germany </w:t>
      </w:r>
    </w:p>
    <w:p w14:paraId="2B88CB3F" w14:textId="14E9302F" w:rsidR="00B53F86" w:rsidRDefault="0064724B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 xml:space="preserve"> S. </w:t>
      </w:r>
      <w:proofErr w:type="spellStart"/>
      <w:r>
        <w:rPr>
          <w:b w:val="0"/>
          <w:bCs w:val="0"/>
          <w:i/>
          <w:iCs w:val="0"/>
          <w:color w:val="000000"/>
          <w:sz w:val="24"/>
          <w:szCs w:val="24"/>
        </w:rPr>
        <w:t>Schiebel</w:t>
      </w:r>
      <w:proofErr w:type="spellEnd"/>
      <w:r w:rsidR="00B53F86">
        <w:rPr>
          <w:b w:val="0"/>
          <w:bCs w:val="0"/>
          <w:i/>
          <w:iCs w:val="0"/>
          <w:color w:val="000000"/>
          <w:sz w:val="24"/>
          <w:szCs w:val="24"/>
        </w:rPr>
        <w:t>, Institute of Geophysics and Meteorology, University of Cologne, Germany</w:t>
      </w:r>
    </w:p>
    <w:p w14:paraId="6F875EA3" w14:textId="50EA293B" w:rsidR="00B53F86" w:rsidRDefault="00F20965" w:rsidP="00F20965">
      <w:pPr>
        <w:pStyle w:val="SAGEEPheading"/>
        <w:spacing w:after="0"/>
        <w:ind w:left="720"/>
        <w:jc w:val="both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 xml:space="preserve">  </w:t>
      </w:r>
      <w:r w:rsidR="0064724B">
        <w:rPr>
          <w:b w:val="0"/>
          <w:bCs w:val="0"/>
          <w:i/>
          <w:iCs w:val="0"/>
          <w:color w:val="000000"/>
          <w:sz w:val="24"/>
          <w:szCs w:val="24"/>
        </w:rPr>
        <w:t xml:space="preserve">W. </w:t>
      </w:r>
      <w:proofErr w:type="spellStart"/>
      <w:r w:rsidR="0064724B">
        <w:rPr>
          <w:b w:val="0"/>
          <w:bCs w:val="0"/>
          <w:i/>
          <w:iCs w:val="0"/>
          <w:color w:val="000000"/>
          <w:sz w:val="24"/>
          <w:szCs w:val="24"/>
        </w:rPr>
        <w:t>Mörbe</w:t>
      </w:r>
      <w:proofErr w:type="spellEnd"/>
      <w:r w:rsidR="0064724B">
        <w:rPr>
          <w:b w:val="0"/>
          <w:bCs w:val="0"/>
          <w:i/>
          <w:iCs w:val="0"/>
          <w:color w:val="000000"/>
          <w:sz w:val="24"/>
          <w:szCs w:val="24"/>
        </w:rPr>
        <w:t>, Institute of Geophysics and Meteorology, University of Cologne, Germany</w:t>
      </w:r>
    </w:p>
    <w:p w14:paraId="423C9214" w14:textId="45A42667" w:rsidR="0064724B" w:rsidRDefault="005625CA" w:rsidP="00F20965">
      <w:pPr>
        <w:pStyle w:val="SAGEEPheading"/>
        <w:spacing w:after="0"/>
        <w:ind w:left="720"/>
        <w:jc w:val="both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 xml:space="preserve"> </w:t>
      </w:r>
      <w:r w:rsidR="00AE296A">
        <w:rPr>
          <w:b w:val="0"/>
          <w:bCs w:val="0"/>
          <w:i/>
          <w:iCs w:val="0"/>
          <w:color w:val="000000"/>
          <w:sz w:val="24"/>
          <w:szCs w:val="24"/>
        </w:rPr>
        <w:t xml:space="preserve"> </w:t>
      </w:r>
      <w:r w:rsidR="0064724B">
        <w:rPr>
          <w:b w:val="0"/>
          <w:bCs w:val="0"/>
          <w:i/>
          <w:iCs w:val="0"/>
          <w:color w:val="000000"/>
          <w:sz w:val="24"/>
          <w:szCs w:val="24"/>
        </w:rPr>
        <w:t>P. Yogeshwar, Institute of Geophysics and Meteorology, University of Cologne, Germany</w:t>
      </w:r>
    </w:p>
    <w:p w14:paraId="0FFC8451" w14:textId="456226F4" w:rsidR="0064724B" w:rsidRDefault="005625CA" w:rsidP="00F20965">
      <w:pPr>
        <w:pStyle w:val="SAGEEPheading"/>
        <w:spacing w:after="0"/>
        <w:ind w:left="720"/>
        <w:jc w:val="both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 xml:space="preserve"> </w:t>
      </w:r>
      <w:r w:rsidR="00AE296A">
        <w:rPr>
          <w:b w:val="0"/>
          <w:bCs w:val="0"/>
          <w:i/>
          <w:iCs w:val="0"/>
          <w:color w:val="000000"/>
          <w:sz w:val="24"/>
          <w:szCs w:val="24"/>
        </w:rPr>
        <w:t xml:space="preserve"> </w:t>
      </w:r>
      <w:r w:rsidR="0064724B">
        <w:rPr>
          <w:b w:val="0"/>
          <w:bCs w:val="0"/>
          <w:i/>
          <w:iCs w:val="0"/>
          <w:color w:val="000000"/>
          <w:sz w:val="24"/>
          <w:szCs w:val="24"/>
        </w:rPr>
        <w:t>T. Günther, Leibnitz Institute for Applied Geophysics, Hannover, Germany</w:t>
      </w:r>
    </w:p>
    <w:p w14:paraId="4E5A98C7" w14:textId="617D4597" w:rsidR="0064724B" w:rsidRDefault="005625CA" w:rsidP="00F20965">
      <w:pPr>
        <w:pStyle w:val="SAGEEPheading"/>
        <w:spacing w:after="0"/>
        <w:ind w:left="720"/>
        <w:jc w:val="both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 xml:space="preserve"> </w:t>
      </w:r>
      <w:r w:rsidR="00AE296A">
        <w:rPr>
          <w:b w:val="0"/>
          <w:bCs w:val="0"/>
          <w:i/>
          <w:iCs w:val="0"/>
          <w:color w:val="000000"/>
          <w:sz w:val="24"/>
          <w:szCs w:val="24"/>
        </w:rPr>
        <w:t xml:space="preserve"> </w:t>
      </w:r>
      <w:r w:rsidR="0064724B">
        <w:rPr>
          <w:b w:val="0"/>
          <w:bCs w:val="0"/>
          <w:i/>
          <w:iCs w:val="0"/>
          <w:color w:val="000000"/>
          <w:sz w:val="24"/>
          <w:szCs w:val="24"/>
        </w:rPr>
        <w:t xml:space="preserve">M. Tauchnitz, </w:t>
      </w:r>
      <w:proofErr w:type="spellStart"/>
      <w:r w:rsidR="0064724B">
        <w:rPr>
          <w:b w:val="0"/>
          <w:bCs w:val="0"/>
          <w:i/>
          <w:iCs w:val="0"/>
          <w:color w:val="000000"/>
          <w:sz w:val="24"/>
          <w:szCs w:val="24"/>
        </w:rPr>
        <w:t>Terratech</w:t>
      </w:r>
      <w:proofErr w:type="spellEnd"/>
      <w:r w:rsidR="0064724B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proofErr w:type="spellStart"/>
      <w:r w:rsidR="0064724B">
        <w:rPr>
          <w:b w:val="0"/>
          <w:bCs w:val="0"/>
          <w:i/>
          <w:iCs w:val="0"/>
          <w:color w:val="000000"/>
          <w:sz w:val="24"/>
          <w:szCs w:val="24"/>
        </w:rPr>
        <w:t>Heitersheim</w:t>
      </w:r>
      <w:proofErr w:type="spellEnd"/>
      <w:r w:rsidR="0064724B">
        <w:rPr>
          <w:b w:val="0"/>
          <w:bCs w:val="0"/>
          <w:i/>
          <w:iCs w:val="0"/>
          <w:color w:val="000000"/>
          <w:sz w:val="24"/>
          <w:szCs w:val="24"/>
        </w:rPr>
        <w:t>, Germany</w:t>
      </w:r>
    </w:p>
    <w:p w14:paraId="4DC4590C" w14:textId="1E488018" w:rsidR="00D5590A" w:rsidRDefault="00D5590A" w:rsidP="00B53F86">
      <w:pPr>
        <w:pStyle w:val="SAGEEPheading"/>
        <w:spacing w:after="0"/>
        <w:jc w:val="both"/>
        <w:rPr>
          <w:b w:val="0"/>
          <w:bCs w:val="0"/>
          <w:i/>
          <w:iCs w:val="0"/>
          <w:color w:val="000000"/>
          <w:sz w:val="24"/>
          <w:szCs w:val="24"/>
        </w:rPr>
      </w:pPr>
    </w:p>
    <w:p w14:paraId="51513AE5" w14:textId="344D52C3" w:rsidR="00520802" w:rsidRPr="00F02168" w:rsidRDefault="00520802" w:rsidP="00F02168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2EEA96B1" w14:textId="7843EAE8" w:rsidR="00140F81" w:rsidRDefault="00140F81" w:rsidP="00140F81">
      <w:pPr>
        <w:pStyle w:val="BodyText"/>
        <w:spacing w:before="172"/>
        <w:ind w:left="116" w:right="151"/>
        <w:jc w:val="both"/>
      </w:pPr>
      <w:r w:rsidRPr="00140F81">
        <w:t>In</w:t>
      </w:r>
      <w:r w:rsidRPr="00140F81">
        <w:rPr>
          <w:spacing w:val="40"/>
        </w:rPr>
        <w:t xml:space="preserve"> </w:t>
      </w:r>
      <w:r w:rsidRPr="00140F81">
        <w:t>the</w:t>
      </w:r>
      <w:r w:rsidRPr="00140F81">
        <w:rPr>
          <w:spacing w:val="40"/>
        </w:rPr>
        <w:t xml:space="preserve"> </w:t>
      </w:r>
      <w:r w:rsidRPr="00140F81">
        <w:t>framework</w:t>
      </w:r>
      <w:r w:rsidRPr="00140F81">
        <w:rPr>
          <w:spacing w:val="40"/>
        </w:rPr>
        <w:t xml:space="preserve"> </w:t>
      </w:r>
      <w:r w:rsidRPr="00140F81">
        <w:t>of</w:t>
      </w:r>
      <w:r w:rsidRPr="00140F81">
        <w:rPr>
          <w:spacing w:val="40"/>
        </w:rPr>
        <w:t xml:space="preserve"> </w:t>
      </w:r>
      <w:r w:rsidRPr="00140F81">
        <w:t>the</w:t>
      </w:r>
      <w:r w:rsidRPr="00140F81">
        <w:rPr>
          <w:spacing w:val="40"/>
        </w:rPr>
        <w:t xml:space="preserve"> </w:t>
      </w:r>
      <w:r w:rsidRPr="00140F81">
        <w:t>DESMEX2</w:t>
      </w:r>
      <w:r w:rsidRPr="00140F81">
        <w:rPr>
          <w:spacing w:val="40"/>
        </w:rPr>
        <w:t xml:space="preserve"> </w:t>
      </w:r>
      <w:r w:rsidRPr="00140F81">
        <w:t>(Deep</w:t>
      </w:r>
      <w:r w:rsidRPr="00140F81">
        <w:rPr>
          <w:spacing w:val="40"/>
        </w:rPr>
        <w:t xml:space="preserve"> </w:t>
      </w:r>
      <w:r w:rsidRPr="00140F81">
        <w:t>Electromagnetic</w:t>
      </w:r>
      <w:r w:rsidRPr="00140F81">
        <w:rPr>
          <w:spacing w:val="40"/>
        </w:rPr>
        <w:t xml:space="preserve"> </w:t>
      </w:r>
      <w:r w:rsidRPr="00140F81">
        <w:t>Sounding</w:t>
      </w:r>
      <w:r w:rsidRPr="00140F81">
        <w:rPr>
          <w:spacing w:val="40"/>
        </w:rPr>
        <w:t xml:space="preserve"> </w:t>
      </w:r>
      <w:r w:rsidRPr="00140F81">
        <w:t>for Mineral</w:t>
      </w:r>
      <w:r w:rsidRPr="00140F81">
        <w:rPr>
          <w:spacing w:val="-15"/>
        </w:rPr>
        <w:t xml:space="preserve"> </w:t>
      </w:r>
      <w:r w:rsidR="00ED0C84">
        <w:t>Exploration)</w:t>
      </w:r>
      <w:r w:rsidRPr="00140F81">
        <w:rPr>
          <w:spacing w:val="-15"/>
        </w:rPr>
        <w:t xml:space="preserve"> </w:t>
      </w:r>
      <w:r w:rsidRPr="00140F81">
        <w:t>project</w:t>
      </w:r>
      <w:r w:rsidR="005625CA">
        <w:t>,</w:t>
      </w:r>
      <w:r w:rsidRPr="00140F81">
        <w:rPr>
          <w:spacing w:val="-15"/>
        </w:rPr>
        <w:t xml:space="preserve"> </w:t>
      </w:r>
      <w:r w:rsidRPr="00140F81">
        <w:t>a</w:t>
      </w:r>
      <w:r w:rsidRPr="00140F81">
        <w:rPr>
          <w:spacing w:val="-15"/>
        </w:rPr>
        <w:t xml:space="preserve"> </w:t>
      </w:r>
      <w:r w:rsidRPr="00140F81">
        <w:t>newly</w:t>
      </w:r>
      <w:r w:rsidRPr="00140F81">
        <w:rPr>
          <w:spacing w:val="-15"/>
        </w:rPr>
        <w:t xml:space="preserve"> </w:t>
      </w:r>
      <w:r w:rsidRPr="00140F81">
        <w:t>semi-airborne</w:t>
      </w:r>
      <w:r w:rsidRPr="00140F81">
        <w:rPr>
          <w:spacing w:val="-15"/>
        </w:rPr>
        <w:t xml:space="preserve"> </w:t>
      </w:r>
      <w:r w:rsidRPr="00140F81">
        <w:t>system was</w:t>
      </w:r>
      <w:r w:rsidRPr="00140F81">
        <w:rPr>
          <w:spacing w:val="-3"/>
        </w:rPr>
        <w:t xml:space="preserve"> </w:t>
      </w:r>
      <w:r w:rsidRPr="00140F81">
        <w:t>tested</w:t>
      </w:r>
      <w:r w:rsidRPr="00140F81">
        <w:rPr>
          <w:spacing w:val="-3"/>
        </w:rPr>
        <w:t xml:space="preserve"> </w:t>
      </w:r>
      <w:r w:rsidRPr="00140F81">
        <w:t>over</w:t>
      </w:r>
      <w:r w:rsidRPr="00140F81">
        <w:rPr>
          <w:spacing w:val="-4"/>
        </w:rPr>
        <w:t xml:space="preserve"> </w:t>
      </w:r>
      <w:r w:rsidRPr="00140F81">
        <w:t>a</w:t>
      </w:r>
      <w:r w:rsidRPr="00140F81">
        <w:rPr>
          <w:spacing w:val="-4"/>
        </w:rPr>
        <w:t xml:space="preserve"> </w:t>
      </w:r>
      <w:r w:rsidRPr="00140F81">
        <w:t>large-scale</w:t>
      </w:r>
      <w:r w:rsidRPr="00140F81">
        <w:rPr>
          <w:spacing w:val="-3"/>
        </w:rPr>
        <w:t xml:space="preserve"> </w:t>
      </w:r>
      <w:r w:rsidRPr="00140F81">
        <w:t>graphite</w:t>
      </w:r>
      <w:r w:rsidRPr="00140F81">
        <w:rPr>
          <w:spacing w:val="-4"/>
        </w:rPr>
        <w:t xml:space="preserve"> </w:t>
      </w:r>
      <w:r w:rsidRPr="00140F81">
        <w:t>deposit</w:t>
      </w:r>
      <w:r w:rsidRPr="00140F81">
        <w:rPr>
          <w:spacing w:val="-3"/>
        </w:rPr>
        <w:t xml:space="preserve"> </w:t>
      </w:r>
      <w:r w:rsidRPr="00140F81">
        <w:t>in</w:t>
      </w:r>
      <w:r w:rsidRPr="00140F81">
        <w:rPr>
          <w:spacing w:val="-3"/>
        </w:rPr>
        <w:t xml:space="preserve"> </w:t>
      </w:r>
      <w:r w:rsidRPr="00140F81">
        <w:t>the</w:t>
      </w:r>
      <w:r w:rsidRPr="00140F81">
        <w:rPr>
          <w:spacing w:val="-4"/>
        </w:rPr>
        <w:t xml:space="preserve"> </w:t>
      </w:r>
      <w:r w:rsidRPr="00140F81">
        <w:t>Bavarian</w:t>
      </w:r>
      <w:r w:rsidRPr="00140F81">
        <w:rPr>
          <w:spacing w:val="-1"/>
        </w:rPr>
        <w:t xml:space="preserve"> </w:t>
      </w:r>
      <w:r w:rsidRPr="00140F81">
        <w:t>Forest/Germany.</w:t>
      </w:r>
      <w:r w:rsidRPr="00140F81">
        <w:rPr>
          <w:spacing w:val="-3"/>
        </w:rPr>
        <w:t xml:space="preserve"> </w:t>
      </w:r>
      <w:r w:rsidRPr="00140F81">
        <w:t>Since</w:t>
      </w:r>
      <w:r w:rsidRPr="00140F81">
        <w:rPr>
          <w:spacing w:val="-5"/>
        </w:rPr>
        <w:t xml:space="preserve"> </w:t>
      </w:r>
      <w:r w:rsidRPr="00140F81">
        <w:t>strong</w:t>
      </w:r>
      <w:r w:rsidRPr="00140F81">
        <w:rPr>
          <w:spacing w:val="-3"/>
        </w:rPr>
        <w:t xml:space="preserve"> </w:t>
      </w:r>
      <w:r w:rsidRPr="00140F81">
        <w:t>IP effects</w:t>
      </w:r>
      <w:r w:rsidRPr="00140F81">
        <w:rPr>
          <w:spacing w:val="-11"/>
        </w:rPr>
        <w:t xml:space="preserve"> </w:t>
      </w:r>
      <w:r w:rsidRPr="00140F81">
        <w:t>of</w:t>
      </w:r>
      <w:r w:rsidRPr="00140F81">
        <w:rPr>
          <w:spacing w:val="-11"/>
        </w:rPr>
        <w:t xml:space="preserve"> </w:t>
      </w:r>
      <w:r w:rsidRPr="00140F81">
        <w:t>the</w:t>
      </w:r>
      <w:r w:rsidRPr="00140F81">
        <w:rPr>
          <w:spacing w:val="-13"/>
        </w:rPr>
        <w:t xml:space="preserve"> </w:t>
      </w:r>
      <w:r w:rsidRPr="00140F81">
        <w:t>target</w:t>
      </w:r>
      <w:r w:rsidRPr="00140F81">
        <w:rPr>
          <w:spacing w:val="-8"/>
        </w:rPr>
        <w:t xml:space="preserve"> </w:t>
      </w:r>
      <w:r w:rsidRPr="00140F81">
        <w:t>can</w:t>
      </w:r>
      <w:r w:rsidRPr="00140F81">
        <w:rPr>
          <w:spacing w:val="-12"/>
        </w:rPr>
        <w:t xml:space="preserve"> </w:t>
      </w:r>
      <w:r w:rsidRPr="00140F81">
        <w:t>overlay</w:t>
      </w:r>
      <w:r w:rsidRPr="00140F81">
        <w:rPr>
          <w:spacing w:val="-12"/>
        </w:rPr>
        <w:t xml:space="preserve"> </w:t>
      </w:r>
      <w:r w:rsidRPr="00140F81">
        <w:t>the</w:t>
      </w:r>
      <w:r w:rsidRPr="00140F81">
        <w:rPr>
          <w:spacing w:val="-10"/>
        </w:rPr>
        <w:t xml:space="preserve"> </w:t>
      </w:r>
      <w:r w:rsidRPr="00140F81">
        <w:t>measured</w:t>
      </w:r>
      <w:r w:rsidRPr="00140F81">
        <w:rPr>
          <w:spacing w:val="-13"/>
        </w:rPr>
        <w:t xml:space="preserve"> </w:t>
      </w:r>
      <w:r w:rsidRPr="00140F81">
        <w:t>EM-signal,</w:t>
      </w:r>
      <w:r w:rsidRPr="00140F81">
        <w:rPr>
          <w:spacing w:val="-13"/>
        </w:rPr>
        <w:t xml:space="preserve"> </w:t>
      </w:r>
      <w:proofErr w:type="spellStart"/>
      <w:r w:rsidR="00ED0C84">
        <w:t>T</w:t>
      </w:r>
      <w:r w:rsidRPr="00140F81">
        <w:t>erratec</w:t>
      </w:r>
      <w:proofErr w:type="spellEnd"/>
      <w:r w:rsidRPr="00140F81">
        <w:rPr>
          <w:spacing w:val="-12"/>
        </w:rPr>
        <w:t xml:space="preserve"> </w:t>
      </w:r>
      <w:r w:rsidRPr="00140F81">
        <w:t>Geophysical</w:t>
      </w:r>
      <w:r w:rsidRPr="00140F81">
        <w:rPr>
          <w:spacing w:val="-12"/>
        </w:rPr>
        <w:t xml:space="preserve"> </w:t>
      </w:r>
      <w:r w:rsidRPr="00140F81">
        <w:t>Services</w:t>
      </w:r>
      <w:r w:rsidRPr="00140F81">
        <w:rPr>
          <w:spacing w:val="-9"/>
        </w:rPr>
        <w:t xml:space="preserve"> </w:t>
      </w:r>
      <w:r w:rsidRPr="00140F81">
        <w:t xml:space="preserve">applied its own developed </w:t>
      </w:r>
      <w:r>
        <w:t>High Resolution Induced Polarization (</w:t>
      </w:r>
      <w:r w:rsidRPr="00140F81">
        <w:t>HIRIP</w:t>
      </w:r>
      <w:r>
        <w:t>)</w:t>
      </w:r>
      <w:r w:rsidRPr="00140F81">
        <w:t xml:space="preserve"> survey system on two profiles to determine the IP influence. The HIRIP surve</w:t>
      </w:r>
      <w:r>
        <w:t>y system</w:t>
      </w:r>
      <w:r w:rsidRPr="00140F81">
        <w:t xml:space="preserve"> consists of </w:t>
      </w:r>
      <w:r>
        <w:t xml:space="preserve">simultaneous measurements of Direct Current Resistivity </w:t>
      </w:r>
      <w:r w:rsidRPr="00140F81">
        <w:t>and IP data, where the current and voltage electrode are separated to send a high-powered current</w:t>
      </w:r>
      <w:r w:rsidRPr="00140F81">
        <w:rPr>
          <w:spacing w:val="-6"/>
        </w:rPr>
        <w:t xml:space="preserve"> </w:t>
      </w:r>
      <w:r w:rsidRPr="00140F81">
        <w:t>into</w:t>
      </w:r>
      <w:r w:rsidRPr="00140F81">
        <w:rPr>
          <w:spacing w:val="-6"/>
        </w:rPr>
        <w:t xml:space="preserve"> </w:t>
      </w:r>
      <w:r w:rsidRPr="00140F81">
        <w:t>the</w:t>
      </w:r>
      <w:r w:rsidRPr="00140F81">
        <w:rPr>
          <w:spacing w:val="-7"/>
        </w:rPr>
        <w:t xml:space="preserve"> </w:t>
      </w:r>
      <w:r w:rsidRPr="00140F81">
        <w:t>subsurface.</w:t>
      </w:r>
      <w:r w:rsidRPr="00140F81">
        <w:rPr>
          <w:spacing w:val="-4"/>
        </w:rPr>
        <w:t xml:space="preserve"> </w:t>
      </w:r>
      <w:r w:rsidRPr="00140F81">
        <w:t>For</w:t>
      </w:r>
      <w:r w:rsidRPr="00140F81">
        <w:rPr>
          <w:spacing w:val="-7"/>
        </w:rPr>
        <w:t xml:space="preserve"> </w:t>
      </w:r>
      <w:r w:rsidRPr="00140F81">
        <w:t>measuring</w:t>
      </w:r>
      <w:r w:rsidRPr="00140F81">
        <w:rPr>
          <w:spacing w:val="-7"/>
        </w:rPr>
        <w:t xml:space="preserve"> </w:t>
      </w:r>
      <w:r w:rsidRPr="00140F81">
        <w:t>IP</w:t>
      </w:r>
      <w:r w:rsidRPr="00140F81">
        <w:rPr>
          <w:spacing w:val="-6"/>
        </w:rPr>
        <w:t xml:space="preserve"> </w:t>
      </w:r>
      <w:r w:rsidRPr="00140F81">
        <w:t>data</w:t>
      </w:r>
      <w:r w:rsidRPr="00140F81">
        <w:rPr>
          <w:spacing w:val="-7"/>
        </w:rPr>
        <w:t xml:space="preserve"> </w:t>
      </w:r>
      <w:r w:rsidRPr="00140F81">
        <w:t>in</w:t>
      </w:r>
      <w:r w:rsidRPr="00140F81">
        <w:rPr>
          <w:spacing w:val="-6"/>
        </w:rPr>
        <w:t xml:space="preserve"> </w:t>
      </w:r>
      <w:r w:rsidRPr="00140F81">
        <w:t>time</w:t>
      </w:r>
      <w:r w:rsidRPr="00140F81">
        <w:rPr>
          <w:spacing w:val="-7"/>
        </w:rPr>
        <w:t xml:space="preserve"> </w:t>
      </w:r>
      <w:r w:rsidRPr="00140F81">
        <w:t>domain,</w:t>
      </w:r>
      <w:r w:rsidRPr="00140F81">
        <w:rPr>
          <w:spacing w:val="-6"/>
        </w:rPr>
        <w:t xml:space="preserve"> </w:t>
      </w:r>
      <w:r w:rsidRPr="00140F81">
        <w:t>the</w:t>
      </w:r>
      <w:r w:rsidRPr="00140F81">
        <w:rPr>
          <w:spacing w:val="-7"/>
        </w:rPr>
        <w:t xml:space="preserve"> </w:t>
      </w:r>
      <w:r w:rsidRPr="00140F81">
        <w:t>voltage</w:t>
      </w:r>
      <w:r w:rsidRPr="00140F81">
        <w:rPr>
          <w:spacing w:val="-7"/>
        </w:rPr>
        <w:t xml:space="preserve"> </w:t>
      </w:r>
      <w:r w:rsidRPr="00140F81">
        <w:t xml:space="preserve">decay is measured within 20 time gates and the received decay curves are fitted with a Debye model </w:t>
      </w:r>
      <w:r w:rsidRPr="00140F81">
        <w:rPr>
          <w:position w:val="2"/>
        </w:rPr>
        <w:t>to</w:t>
      </w:r>
      <w:r w:rsidRPr="00140F81">
        <w:rPr>
          <w:spacing w:val="-4"/>
          <w:position w:val="2"/>
        </w:rPr>
        <w:t xml:space="preserve"> </w:t>
      </w:r>
      <w:r w:rsidRPr="00140F81">
        <w:rPr>
          <w:position w:val="2"/>
        </w:rPr>
        <w:t>determine</w:t>
      </w:r>
      <w:r w:rsidRPr="00140F81">
        <w:rPr>
          <w:spacing w:val="-6"/>
          <w:position w:val="2"/>
        </w:rPr>
        <w:t xml:space="preserve"> </w:t>
      </w:r>
      <w:r w:rsidRPr="00140F81">
        <w:rPr>
          <w:position w:val="2"/>
        </w:rPr>
        <w:t>the</w:t>
      </w:r>
      <w:r w:rsidRPr="00140F81">
        <w:rPr>
          <w:spacing w:val="-5"/>
          <w:position w:val="2"/>
        </w:rPr>
        <w:t xml:space="preserve"> </w:t>
      </w:r>
      <w:r w:rsidRPr="00140F81">
        <w:rPr>
          <w:position w:val="2"/>
        </w:rPr>
        <w:t>initial</w:t>
      </w:r>
      <w:r w:rsidRPr="00140F81">
        <w:rPr>
          <w:spacing w:val="-4"/>
          <w:position w:val="2"/>
        </w:rPr>
        <w:t xml:space="preserve"> </w:t>
      </w:r>
      <w:r w:rsidRPr="00140F81">
        <w:rPr>
          <w:position w:val="2"/>
        </w:rPr>
        <w:t>chargeability</w:t>
      </w:r>
      <w:r w:rsidRPr="00140F81">
        <w:rPr>
          <w:spacing w:val="-5"/>
          <w:position w:val="2"/>
        </w:rPr>
        <w:t xml:space="preserve"> </w:t>
      </w:r>
      <w:r w:rsidRPr="00140F81">
        <w:rPr>
          <w:position w:val="2"/>
        </w:rPr>
        <w:t>in</w:t>
      </w:r>
      <w:r w:rsidRPr="00140F81">
        <w:rPr>
          <w:spacing w:val="-4"/>
          <w:position w:val="2"/>
        </w:rPr>
        <w:t xml:space="preserve"> </w:t>
      </w:r>
      <w:r w:rsidRPr="00140F81">
        <w:rPr>
          <w:position w:val="2"/>
        </w:rPr>
        <w:t>mV/V.</w:t>
      </w:r>
      <w:r w:rsidRPr="00140F81">
        <w:rPr>
          <w:spacing w:val="-5"/>
          <w:position w:val="2"/>
        </w:rPr>
        <w:t xml:space="preserve"> </w:t>
      </w:r>
      <w:r w:rsidRPr="00140F81">
        <w:rPr>
          <w:position w:val="2"/>
        </w:rPr>
        <w:t>Latter</w:t>
      </w:r>
      <w:r w:rsidRPr="00140F81">
        <w:rPr>
          <w:spacing w:val="-6"/>
          <w:position w:val="2"/>
        </w:rPr>
        <w:t xml:space="preserve"> </w:t>
      </w:r>
      <w:r w:rsidRPr="00140F81">
        <w:rPr>
          <w:position w:val="2"/>
        </w:rPr>
        <w:t>is</w:t>
      </w:r>
      <w:r w:rsidRPr="00140F81">
        <w:rPr>
          <w:spacing w:val="-4"/>
          <w:position w:val="2"/>
        </w:rPr>
        <w:t xml:space="preserve"> </w:t>
      </w:r>
      <w:r w:rsidRPr="00140F81">
        <w:rPr>
          <w:position w:val="2"/>
        </w:rPr>
        <w:t>used</w:t>
      </w:r>
      <w:r w:rsidRPr="00140F81">
        <w:rPr>
          <w:spacing w:val="-5"/>
          <w:position w:val="2"/>
        </w:rPr>
        <w:t xml:space="preserve"> </w:t>
      </w:r>
      <w:r w:rsidRPr="00140F81">
        <w:rPr>
          <w:position w:val="2"/>
        </w:rPr>
        <w:t>for</w:t>
      </w:r>
      <w:r w:rsidRPr="00140F81">
        <w:rPr>
          <w:spacing w:val="-6"/>
          <w:position w:val="2"/>
        </w:rPr>
        <w:t xml:space="preserve"> </w:t>
      </w:r>
      <w:r w:rsidRPr="00140F81">
        <w:rPr>
          <w:position w:val="2"/>
        </w:rPr>
        <w:t>the</w:t>
      </w:r>
      <w:r w:rsidRPr="00140F81">
        <w:rPr>
          <w:spacing w:val="-6"/>
          <w:position w:val="2"/>
        </w:rPr>
        <w:t xml:space="preserve"> </w:t>
      </w:r>
      <w:r w:rsidRPr="00140F81">
        <w:rPr>
          <w:position w:val="2"/>
        </w:rPr>
        <w:t>determination</w:t>
      </w:r>
      <w:r w:rsidRPr="00140F81">
        <w:rPr>
          <w:spacing w:val="-5"/>
          <w:position w:val="2"/>
        </w:rPr>
        <w:t xml:space="preserve"> </w:t>
      </w:r>
      <w:r w:rsidRPr="00140F81">
        <w:rPr>
          <w:position w:val="2"/>
        </w:rPr>
        <w:t>of</w:t>
      </w:r>
      <w:r w:rsidRPr="00140F81">
        <w:rPr>
          <w:spacing w:val="-6"/>
          <w:position w:val="2"/>
        </w:rPr>
        <w:t xml:space="preserve"> </w:t>
      </w:r>
      <w:r w:rsidRPr="00140F81">
        <w:rPr>
          <w:position w:val="2"/>
        </w:rPr>
        <w:t>the</w:t>
      </w:r>
      <w:r w:rsidRPr="00140F81">
        <w:rPr>
          <w:spacing w:val="-2"/>
          <w:position w:val="2"/>
        </w:rPr>
        <w:t xml:space="preserve"> </w:t>
      </w:r>
      <w:r w:rsidRPr="00140F81">
        <w:rPr>
          <w:position w:val="2"/>
        </w:rPr>
        <w:t xml:space="preserve">IP </w:t>
      </w:r>
      <w:r w:rsidRPr="00140F81">
        <w:t xml:space="preserve">model. </w:t>
      </w:r>
      <w:r w:rsidR="00ED0C84">
        <w:t xml:space="preserve">We have measured two long HIRIP/DC profiles perpendicular to the strike direction of the graphite outcrop. Pol-Dipole configuration was used. </w:t>
      </w:r>
      <w:r w:rsidRPr="00140F81">
        <w:t xml:space="preserve">The evaluation of HIRIP data is based on the </w:t>
      </w:r>
      <w:proofErr w:type="spellStart"/>
      <w:r w:rsidRPr="00140F81">
        <w:t>Gauß</w:t>
      </w:r>
      <w:proofErr w:type="spellEnd"/>
      <w:r w:rsidRPr="00140F81">
        <w:t>-Newton inversion method implem</w:t>
      </w:r>
      <w:r>
        <w:t xml:space="preserve">ented </w:t>
      </w:r>
      <w:r w:rsidRPr="00140F81">
        <w:t>using the two-step inversion</w:t>
      </w:r>
      <w:r w:rsidRPr="00140F81">
        <w:rPr>
          <w:spacing w:val="-4"/>
        </w:rPr>
        <w:t xml:space="preserve"> </w:t>
      </w:r>
      <w:r>
        <w:t xml:space="preserve">technique. </w:t>
      </w:r>
      <w:r w:rsidRPr="00140F81">
        <w:t>The</w:t>
      </w:r>
      <w:r w:rsidRPr="00140F81">
        <w:rPr>
          <w:spacing w:val="-4"/>
        </w:rPr>
        <w:t xml:space="preserve"> </w:t>
      </w:r>
      <w:r w:rsidRPr="00140F81">
        <w:t>forward</w:t>
      </w:r>
      <w:r w:rsidRPr="00140F81">
        <w:rPr>
          <w:spacing w:val="-2"/>
        </w:rPr>
        <w:t xml:space="preserve"> </w:t>
      </w:r>
      <w:r w:rsidRPr="00140F81">
        <w:t>response</w:t>
      </w:r>
      <w:r w:rsidRPr="00140F81">
        <w:rPr>
          <w:spacing w:val="-3"/>
        </w:rPr>
        <w:t xml:space="preserve"> </w:t>
      </w:r>
      <w:r w:rsidRPr="00140F81">
        <w:t>of HIRIP</w:t>
      </w:r>
      <w:r w:rsidRPr="00140F81">
        <w:rPr>
          <w:spacing w:val="-1"/>
        </w:rPr>
        <w:t xml:space="preserve"> </w:t>
      </w:r>
      <w:r w:rsidRPr="00140F81">
        <w:t>data</w:t>
      </w:r>
      <w:r w:rsidRPr="00140F81">
        <w:rPr>
          <w:spacing w:val="-2"/>
        </w:rPr>
        <w:t xml:space="preserve"> </w:t>
      </w:r>
      <w:r w:rsidRPr="00140F81">
        <w:t>is</w:t>
      </w:r>
      <w:r w:rsidRPr="00140F81">
        <w:rPr>
          <w:spacing w:val="-2"/>
        </w:rPr>
        <w:t xml:space="preserve"> </w:t>
      </w:r>
      <w:r w:rsidRPr="00140F81">
        <w:t>calculated</w:t>
      </w:r>
      <w:r w:rsidRPr="00140F81">
        <w:rPr>
          <w:spacing w:val="-1"/>
        </w:rPr>
        <w:t xml:space="preserve"> </w:t>
      </w:r>
      <w:r w:rsidRPr="00140F81">
        <w:t>on</w:t>
      </w:r>
      <w:r w:rsidRPr="00140F81">
        <w:rPr>
          <w:spacing w:val="-2"/>
        </w:rPr>
        <w:t xml:space="preserve"> </w:t>
      </w:r>
      <w:r w:rsidRPr="00140F81">
        <w:t>a</w:t>
      </w:r>
      <w:r w:rsidRPr="00140F81">
        <w:rPr>
          <w:spacing w:val="-3"/>
        </w:rPr>
        <w:t xml:space="preserve"> </w:t>
      </w:r>
      <w:r w:rsidRPr="00140F81">
        <w:t>3D</w:t>
      </w:r>
      <w:r w:rsidRPr="00140F81">
        <w:rPr>
          <w:spacing w:val="-2"/>
        </w:rPr>
        <w:t xml:space="preserve"> </w:t>
      </w:r>
      <w:r w:rsidRPr="00140F81">
        <w:t>prism</w:t>
      </w:r>
      <w:r w:rsidRPr="00140F81">
        <w:rPr>
          <w:spacing w:val="-2"/>
        </w:rPr>
        <w:t xml:space="preserve"> </w:t>
      </w:r>
      <w:r w:rsidRPr="00140F81">
        <w:t>mesh</w:t>
      </w:r>
      <w:r w:rsidRPr="00140F81">
        <w:rPr>
          <w:spacing w:val="-1"/>
        </w:rPr>
        <w:t xml:space="preserve"> </w:t>
      </w:r>
      <w:r w:rsidRPr="00140F81">
        <w:t>and its</w:t>
      </w:r>
      <w:r w:rsidRPr="00140F81">
        <w:rPr>
          <w:spacing w:val="-2"/>
        </w:rPr>
        <w:t xml:space="preserve"> </w:t>
      </w:r>
      <w:r w:rsidRPr="00140F81">
        <w:t>inversion</w:t>
      </w:r>
      <w:r w:rsidRPr="00140F81">
        <w:rPr>
          <w:spacing w:val="-2"/>
        </w:rPr>
        <w:t xml:space="preserve"> </w:t>
      </w:r>
      <w:r w:rsidRPr="00140F81">
        <w:t>works</w:t>
      </w:r>
      <w:r w:rsidRPr="00140F81">
        <w:rPr>
          <w:spacing w:val="-2"/>
        </w:rPr>
        <w:t xml:space="preserve"> </w:t>
      </w:r>
      <w:r w:rsidRPr="00140F81">
        <w:t>on</w:t>
      </w:r>
      <w:r w:rsidRPr="00140F81">
        <w:rPr>
          <w:spacing w:val="-2"/>
        </w:rPr>
        <w:t xml:space="preserve"> </w:t>
      </w:r>
      <w:r w:rsidRPr="00140F81">
        <w:t>a</w:t>
      </w:r>
      <w:r w:rsidRPr="00140F81">
        <w:rPr>
          <w:spacing w:val="-2"/>
        </w:rPr>
        <w:t xml:space="preserve"> </w:t>
      </w:r>
      <w:r w:rsidRPr="00140F81">
        <w:t>2D</w:t>
      </w:r>
      <w:r w:rsidRPr="00140F81">
        <w:rPr>
          <w:spacing w:val="-2"/>
        </w:rPr>
        <w:t xml:space="preserve"> </w:t>
      </w:r>
      <w:r w:rsidRPr="00140F81">
        <w:t>triangular</w:t>
      </w:r>
      <w:r w:rsidRPr="00140F81">
        <w:rPr>
          <w:spacing w:val="-2"/>
        </w:rPr>
        <w:t xml:space="preserve"> </w:t>
      </w:r>
      <w:r w:rsidRPr="00140F81">
        <w:t xml:space="preserve">mesh. Due to the survey conditions, the remote poles are in close distance to their profiles and are considered in the calculation of the geometry factor and in the inversion. </w:t>
      </w:r>
      <w:r>
        <w:t xml:space="preserve">Data measured for very </w:t>
      </w:r>
      <w:r w:rsidR="00ED0C84">
        <w:t>l</w:t>
      </w:r>
      <w:r w:rsidRPr="00140F81">
        <w:t xml:space="preserve">arge offsets cannot be fitted and therefore they are not considered. </w:t>
      </w:r>
      <w:r w:rsidR="00ED0C84">
        <w:t>The calculated 2D DC and HIRIP models shows strong conductive and high</w:t>
      </w:r>
      <w:r w:rsidR="00B94568">
        <w:t>ly</w:t>
      </w:r>
      <w:r w:rsidR="00ED0C84">
        <w:t xml:space="preserve"> polarized anomalies at the expected location of the graphite anomaly.</w:t>
      </w:r>
      <w:r>
        <w:t xml:space="preserve"> </w:t>
      </w:r>
    </w:p>
    <w:p w14:paraId="166AA9B8" w14:textId="14FDB0DE" w:rsidR="00ED0C84" w:rsidRDefault="00ED0C84" w:rsidP="00140F81">
      <w:pPr>
        <w:pStyle w:val="BodyText"/>
        <w:spacing w:before="172"/>
        <w:ind w:left="116" w:right="151"/>
        <w:jc w:val="both"/>
      </w:pPr>
    </w:p>
    <w:p w14:paraId="156CC814" w14:textId="77777777" w:rsidR="00520802" w:rsidRPr="00F02168" w:rsidRDefault="00520802" w:rsidP="00F02168">
      <w:pPr>
        <w:pStyle w:val="SAGEEPheading"/>
        <w:spacing w:after="0"/>
        <w:jc w:val="both"/>
        <w:rPr>
          <w:b w:val="0"/>
          <w:bCs w:val="0"/>
          <w:iCs w:val="0"/>
          <w:color w:val="000000"/>
          <w:sz w:val="24"/>
          <w:szCs w:val="27"/>
        </w:rPr>
      </w:pPr>
    </w:p>
    <w:p w14:paraId="46087FAF" w14:textId="77777777" w:rsidR="00B53F86" w:rsidRDefault="00B53F86" w:rsidP="008E3A81">
      <w:pPr>
        <w:pStyle w:val="SAGEEPtext"/>
      </w:pPr>
    </w:p>
    <w:p w14:paraId="38969E97" w14:textId="77777777" w:rsidR="00405234" w:rsidRDefault="00405234" w:rsidP="00D5590A">
      <w:pPr>
        <w:pStyle w:val="SAGEEPtext"/>
        <w:ind w:firstLine="0"/>
      </w:pPr>
    </w:p>
    <w:p w14:paraId="448C8301" w14:textId="77777777" w:rsidR="00AD6206" w:rsidRDefault="00AD6206" w:rsidP="00D5590A">
      <w:pPr>
        <w:pStyle w:val="SAGEEPtext"/>
        <w:ind w:firstLine="0"/>
      </w:pPr>
    </w:p>
    <w:sectPr w:rsidR="00AD6206" w:rsidSect="007D1264">
      <w:headerReference w:type="default" r:id="rId8"/>
      <w:type w:val="continuous"/>
      <w:pgSz w:w="12240" w:h="15840" w:code="1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94C9F" w14:textId="77777777" w:rsidR="003B0B80" w:rsidRDefault="003B0B80">
      <w:r>
        <w:separator/>
      </w:r>
    </w:p>
  </w:endnote>
  <w:endnote w:type="continuationSeparator" w:id="0">
    <w:p w14:paraId="6920F887" w14:textId="77777777" w:rsidR="003B0B80" w:rsidRDefault="003B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A2C36" w14:textId="77777777" w:rsidR="003B0B80" w:rsidRDefault="003B0B80">
      <w:r>
        <w:separator/>
      </w:r>
    </w:p>
  </w:footnote>
  <w:footnote w:type="continuationSeparator" w:id="0">
    <w:p w14:paraId="1EE230E8" w14:textId="77777777" w:rsidR="003B0B80" w:rsidRDefault="003B0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C484" w14:textId="1A67B61D" w:rsidR="007B3000" w:rsidRPr="000C6977" w:rsidRDefault="007B3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3220"/>
    <w:multiLevelType w:val="hybridMultilevel"/>
    <w:tmpl w:val="F3C4350A"/>
    <w:lvl w:ilvl="0" w:tplc="4CF6E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255D3"/>
    <w:multiLevelType w:val="hybridMultilevel"/>
    <w:tmpl w:val="A72CE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C3577"/>
    <w:multiLevelType w:val="hybridMultilevel"/>
    <w:tmpl w:val="B8C4CE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6F6ECF"/>
    <w:multiLevelType w:val="hybridMultilevel"/>
    <w:tmpl w:val="83469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B3431C"/>
    <w:multiLevelType w:val="hybridMultilevel"/>
    <w:tmpl w:val="96BA09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33666792">
    <w:abstractNumId w:val="0"/>
  </w:num>
  <w:num w:numId="2" w16cid:durableId="126969986">
    <w:abstractNumId w:val="4"/>
  </w:num>
  <w:num w:numId="3" w16cid:durableId="1802570729">
    <w:abstractNumId w:val="2"/>
  </w:num>
  <w:num w:numId="4" w16cid:durableId="742412055">
    <w:abstractNumId w:val="1"/>
  </w:num>
  <w:num w:numId="5" w16cid:durableId="158082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D13"/>
    <w:rsid w:val="00003B7B"/>
    <w:rsid w:val="000227D1"/>
    <w:rsid w:val="00046CA1"/>
    <w:rsid w:val="00056100"/>
    <w:rsid w:val="00070734"/>
    <w:rsid w:val="00081D58"/>
    <w:rsid w:val="00085A30"/>
    <w:rsid w:val="000A0EBA"/>
    <w:rsid w:val="000A4E54"/>
    <w:rsid w:val="000B461E"/>
    <w:rsid w:val="000B4D19"/>
    <w:rsid w:val="000B4D3A"/>
    <w:rsid w:val="000C6977"/>
    <w:rsid w:val="000C6B69"/>
    <w:rsid w:val="000C71B5"/>
    <w:rsid w:val="000D220C"/>
    <w:rsid w:val="000E54A1"/>
    <w:rsid w:val="00101785"/>
    <w:rsid w:val="00140F81"/>
    <w:rsid w:val="0014606F"/>
    <w:rsid w:val="00162FB9"/>
    <w:rsid w:val="00165E0F"/>
    <w:rsid w:val="001774A8"/>
    <w:rsid w:val="001828F1"/>
    <w:rsid w:val="00183D13"/>
    <w:rsid w:val="00185CCE"/>
    <w:rsid w:val="001961F2"/>
    <w:rsid w:val="001A22A9"/>
    <w:rsid w:val="001C20C6"/>
    <w:rsid w:val="001E087C"/>
    <w:rsid w:val="00210465"/>
    <w:rsid w:val="00213A19"/>
    <w:rsid w:val="00216467"/>
    <w:rsid w:val="00223DD7"/>
    <w:rsid w:val="00250EBA"/>
    <w:rsid w:val="002613F2"/>
    <w:rsid w:val="0026175B"/>
    <w:rsid w:val="002656C6"/>
    <w:rsid w:val="00272F31"/>
    <w:rsid w:val="0027514E"/>
    <w:rsid w:val="00277BAA"/>
    <w:rsid w:val="00292A6E"/>
    <w:rsid w:val="002A266D"/>
    <w:rsid w:val="002C2221"/>
    <w:rsid w:val="002C2496"/>
    <w:rsid w:val="002C6B13"/>
    <w:rsid w:val="002D0C14"/>
    <w:rsid w:val="002D5F2D"/>
    <w:rsid w:val="002E6D62"/>
    <w:rsid w:val="00313033"/>
    <w:rsid w:val="003257AC"/>
    <w:rsid w:val="003262E2"/>
    <w:rsid w:val="00326CB5"/>
    <w:rsid w:val="00351941"/>
    <w:rsid w:val="0035544C"/>
    <w:rsid w:val="0036376A"/>
    <w:rsid w:val="00363FA4"/>
    <w:rsid w:val="00386CA0"/>
    <w:rsid w:val="003A6048"/>
    <w:rsid w:val="003B0B80"/>
    <w:rsid w:val="003B2B53"/>
    <w:rsid w:val="003C67F8"/>
    <w:rsid w:val="003D570C"/>
    <w:rsid w:val="003F0C8B"/>
    <w:rsid w:val="003F15F3"/>
    <w:rsid w:val="003F3BC8"/>
    <w:rsid w:val="003F3EA3"/>
    <w:rsid w:val="00405234"/>
    <w:rsid w:val="00410574"/>
    <w:rsid w:val="004115C6"/>
    <w:rsid w:val="00420D17"/>
    <w:rsid w:val="00423189"/>
    <w:rsid w:val="00431A14"/>
    <w:rsid w:val="00433B52"/>
    <w:rsid w:val="004433B1"/>
    <w:rsid w:val="004502BE"/>
    <w:rsid w:val="00450F28"/>
    <w:rsid w:val="00473784"/>
    <w:rsid w:val="00494CE5"/>
    <w:rsid w:val="00496413"/>
    <w:rsid w:val="004A6EC5"/>
    <w:rsid w:val="004B0FBD"/>
    <w:rsid w:val="004B3D2C"/>
    <w:rsid w:val="004E0A6A"/>
    <w:rsid w:val="004F2D85"/>
    <w:rsid w:val="00505745"/>
    <w:rsid w:val="005104D8"/>
    <w:rsid w:val="00512A98"/>
    <w:rsid w:val="005150A7"/>
    <w:rsid w:val="00517FDD"/>
    <w:rsid w:val="00520802"/>
    <w:rsid w:val="005273B1"/>
    <w:rsid w:val="00532684"/>
    <w:rsid w:val="005523C4"/>
    <w:rsid w:val="005625CA"/>
    <w:rsid w:val="005658F8"/>
    <w:rsid w:val="005A2FDE"/>
    <w:rsid w:val="005B7337"/>
    <w:rsid w:val="005F10E4"/>
    <w:rsid w:val="005F4F87"/>
    <w:rsid w:val="005F7626"/>
    <w:rsid w:val="00617A12"/>
    <w:rsid w:val="006209D1"/>
    <w:rsid w:val="006227C6"/>
    <w:rsid w:val="006249A5"/>
    <w:rsid w:val="006373C2"/>
    <w:rsid w:val="00642523"/>
    <w:rsid w:val="0064724B"/>
    <w:rsid w:val="00652E3B"/>
    <w:rsid w:val="00670F5C"/>
    <w:rsid w:val="006942F3"/>
    <w:rsid w:val="0069481A"/>
    <w:rsid w:val="006B3B19"/>
    <w:rsid w:val="006C0C21"/>
    <w:rsid w:val="006C13F3"/>
    <w:rsid w:val="006C6E9C"/>
    <w:rsid w:val="006D01EF"/>
    <w:rsid w:val="006E120B"/>
    <w:rsid w:val="006E2671"/>
    <w:rsid w:val="006F45A4"/>
    <w:rsid w:val="006F6764"/>
    <w:rsid w:val="007156D0"/>
    <w:rsid w:val="00732724"/>
    <w:rsid w:val="0073408A"/>
    <w:rsid w:val="00770047"/>
    <w:rsid w:val="00783355"/>
    <w:rsid w:val="007B3000"/>
    <w:rsid w:val="007B6C2A"/>
    <w:rsid w:val="007D1264"/>
    <w:rsid w:val="007D6DDF"/>
    <w:rsid w:val="00802856"/>
    <w:rsid w:val="00802AF7"/>
    <w:rsid w:val="00820980"/>
    <w:rsid w:val="00824CBC"/>
    <w:rsid w:val="00824F17"/>
    <w:rsid w:val="0083199E"/>
    <w:rsid w:val="00835A17"/>
    <w:rsid w:val="0084265D"/>
    <w:rsid w:val="008760F7"/>
    <w:rsid w:val="00876D3D"/>
    <w:rsid w:val="008809BD"/>
    <w:rsid w:val="00885C0A"/>
    <w:rsid w:val="008913E3"/>
    <w:rsid w:val="00893B9B"/>
    <w:rsid w:val="00895A4F"/>
    <w:rsid w:val="00896AD8"/>
    <w:rsid w:val="008A1228"/>
    <w:rsid w:val="008C0DB3"/>
    <w:rsid w:val="008C3FC0"/>
    <w:rsid w:val="008C7B7B"/>
    <w:rsid w:val="008D06F4"/>
    <w:rsid w:val="008D49C1"/>
    <w:rsid w:val="008D6EC7"/>
    <w:rsid w:val="008E3A81"/>
    <w:rsid w:val="008E6BFA"/>
    <w:rsid w:val="008F6BFB"/>
    <w:rsid w:val="008F6C97"/>
    <w:rsid w:val="008F79C6"/>
    <w:rsid w:val="00910223"/>
    <w:rsid w:val="00921FD1"/>
    <w:rsid w:val="009266C2"/>
    <w:rsid w:val="00933156"/>
    <w:rsid w:val="00933194"/>
    <w:rsid w:val="00936C93"/>
    <w:rsid w:val="00937A52"/>
    <w:rsid w:val="00944AC7"/>
    <w:rsid w:val="00955901"/>
    <w:rsid w:val="00955AFC"/>
    <w:rsid w:val="00966E83"/>
    <w:rsid w:val="00986569"/>
    <w:rsid w:val="009A2C24"/>
    <w:rsid w:val="009A6F85"/>
    <w:rsid w:val="009B6AC0"/>
    <w:rsid w:val="009C3320"/>
    <w:rsid w:val="009D61B3"/>
    <w:rsid w:val="009E1A32"/>
    <w:rsid w:val="009E7611"/>
    <w:rsid w:val="009F24E6"/>
    <w:rsid w:val="00A05DFC"/>
    <w:rsid w:val="00A20E41"/>
    <w:rsid w:val="00A333C4"/>
    <w:rsid w:val="00A355F4"/>
    <w:rsid w:val="00A37124"/>
    <w:rsid w:val="00A526EE"/>
    <w:rsid w:val="00A53AA0"/>
    <w:rsid w:val="00A80F1F"/>
    <w:rsid w:val="00A845A9"/>
    <w:rsid w:val="00AB051C"/>
    <w:rsid w:val="00AC4459"/>
    <w:rsid w:val="00AD0B2F"/>
    <w:rsid w:val="00AD6206"/>
    <w:rsid w:val="00AE296A"/>
    <w:rsid w:val="00AF55EB"/>
    <w:rsid w:val="00B04970"/>
    <w:rsid w:val="00B06FBE"/>
    <w:rsid w:val="00B30C2E"/>
    <w:rsid w:val="00B31E3D"/>
    <w:rsid w:val="00B370B6"/>
    <w:rsid w:val="00B53F86"/>
    <w:rsid w:val="00B567E6"/>
    <w:rsid w:val="00B63A1E"/>
    <w:rsid w:val="00B77777"/>
    <w:rsid w:val="00B80D13"/>
    <w:rsid w:val="00B83488"/>
    <w:rsid w:val="00B85438"/>
    <w:rsid w:val="00B94568"/>
    <w:rsid w:val="00BC6383"/>
    <w:rsid w:val="00BE7F1B"/>
    <w:rsid w:val="00BF1988"/>
    <w:rsid w:val="00C04312"/>
    <w:rsid w:val="00C075A3"/>
    <w:rsid w:val="00C13DED"/>
    <w:rsid w:val="00C2643F"/>
    <w:rsid w:val="00C31166"/>
    <w:rsid w:val="00C37A05"/>
    <w:rsid w:val="00C41603"/>
    <w:rsid w:val="00C45BEF"/>
    <w:rsid w:val="00C46916"/>
    <w:rsid w:val="00C542A7"/>
    <w:rsid w:val="00C746BE"/>
    <w:rsid w:val="00C96F7F"/>
    <w:rsid w:val="00CC63F4"/>
    <w:rsid w:val="00CD22DD"/>
    <w:rsid w:val="00CD53A0"/>
    <w:rsid w:val="00CE4CD8"/>
    <w:rsid w:val="00D23AC1"/>
    <w:rsid w:val="00D32AF0"/>
    <w:rsid w:val="00D34D77"/>
    <w:rsid w:val="00D5412A"/>
    <w:rsid w:val="00D5590A"/>
    <w:rsid w:val="00D57E88"/>
    <w:rsid w:val="00D62DE9"/>
    <w:rsid w:val="00D7481D"/>
    <w:rsid w:val="00D74D1E"/>
    <w:rsid w:val="00D75B4B"/>
    <w:rsid w:val="00DA3758"/>
    <w:rsid w:val="00DD5712"/>
    <w:rsid w:val="00DD61F2"/>
    <w:rsid w:val="00DE6F87"/>
    <w:rsid w:val="00DF3A44"/>
    <w:rsid w:val="00DF429A"/>
    <w:rsid w:val="00E12E68"/>
    <w:rsid w:val="00E1670A"/>
    <w:rsid w:val="00E16E03"/>
    <w:rsid w:val="00E2243D"/>
    <w:rsid w:val="00E271A0"/>
    <w:rsid w:val="00E32310"/>
    <w:rsid w:val="00E476A7"/>
    <w:rsid w:val="00E604A3"/>
    <w:rsid w:val="00E712D3"/>
    <w:rsid w:val="00E85EA4"/>
    <w:rsid w:val="00E94052"/>
    <w:rsid w:val="00EB0FA7"/>
    <w:rsid w:val="00EB20F0"/>
    <w:rsid w:val="00EC2EC8"/>
    <w:rsid w:val="00ED0C84"/>
    <w:rsid w:val="00ED79AD"/>
    <w:rsid w:val="00EE7790"/>
    <w:rsid w:val="00F02168"/>
    <w:rsid w:val="00F20965"/>
    <w:rsid w:val="00F363E4"/>
    <w:rsid w:val="00F54634"/>
    <w:rsid w:val="00F55B90"/>
    <w:rsid w:val="00F61FC8"/>
    <w:rsid w:val="00F640CC"/>
    <w:rsid w:val="00F857D1"/>
    <w:rsid w:val="00F95E74"/>
    <w:rsid w:val="00F96733"/>
    <w:rsid w:val="00FB21A7"/>
    <w:rsid w:val="00FB6DE6"/>
    <w:rsid w:val="00FC1FD3"/>
    <w:rsid w:val="00FE2AA1"/>
    <w:rsid w:val="00FE7691"/>
    <w:rsid w:val="00FF2426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6E2D5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spacing w:before="100" w:beforeAutospacing="1" w:after="24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pPr>
      <w:keepNext/>
      <w:spacing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21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21"/>
    </w:rPr>
  </w:style>
  <w:style w:type="paragraph" w:styleId="Heading6">
    <w:name w:val="heading 6"/>
    <w:basedOn w:val="Normal"/>
    <w:next w:val="Normal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right" w:pos="6639"/>
      </w:tabs>
      <w:outlineLvl w:val="5"/>
    </w:pPr>
    <w:rPr>
      <w:sz w:val="49"/>
    </w:rPr>
  </w:style>
  <w:style w:type="paragraph" w:styleId="Heading7">
    <w:name w:val="heading 7"/>
    <w:basedOn w:val="Normal"/>
    <w:next w:val="Normal"/>
    <w:pPr>
      <w:keepNext/>
      <w:tabs>
        <w:tab w:val="right" w:pos="6639"/>
      </w:tabs>
      <w:ind w:left="2092"/>
      <w:outlineLvl w:val="6"/>
    </w:pPr>
    <w:rPr>
      <w:sz w:val="49"/>
      <w:u w:val="single"/>
    </w:rPr>
  </w:style>
  <w:style w:type="paragraph" w:styleId="Heading8">
    <w:name w:val="heading 8"/>
    <w:basedOn w:val="Normal"/>
    <w:next w:val="Normal"/>
    <w:pPr>
      <w:keepNext/>
      <w:tabs>
        <w:tab w:val="left" w:pos="2160"/>
        <w:tab w:val="right" w:pos="6639"/>
      </w:tabs>
      <w:outlineLvl w:val="7"/>
    </w:pPr>
    <w:rPr>
      <w:sz w:val="49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AGEEPauthors">
    <w:name w:val="SAGEEP authors"/>
    <w:basedOn w:val="Normal"/>
    <w:pPr>
      <w:spacing w:after="480"/>
      <w:jc w:val="center"/>
    </w:pPr>
    <w:rPr>
      <w:i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AGEEPtext">
    <w:name w:val="SAGEEP text"/>
    <w:basedOn w:val="Normal"/>
    <w:pPr>
      <w:ind w:firstLine="720"/>
    </w:pPr>
  </w:style>
  <w:style w:type="paragraph" w:customStyle="1" w:styleId="SAGEEPreference">
    <w:name w:val="SAGEEP reference"/>
    <w:basedOn w:val="SAGEEPtext"/>
    <w:pPr>
      <w:ind w:left="720" w:hanging="720"/>
      <w:jc w:val="left"/>
    </w:pPr>
  </w:style>
  <w:style w:type="paragraph" w:customStyle="1" w:styleId="SAGEEPtitle">
    <w:name w:val="SAGEEP title"/>
    <w:basedOn w:val="Heading1"/>
  </w:style>
  <w:style w:type="paragraph" w:customStyle="1" w:styleId="SAGEEPheading">
    <w:name w:val="SAGEEP heading"/>
    <w:basedOn w:val="Heading2"/>
  </w:style>
  <w:style w:type="paragraph" w:customStyle="1" w:styleId="SAGEEPsubheading">
    <w:name w:val="SAGEEP subheading"/>
    <w:basedOn w:val="Heading3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AGEEPfigure">
    <w:name w:val="SAGEEP figure"/>
    <w:basedOn w:val="SAGEEPtext"/>
    <w:pPr>
      <w:ind w:firstLine="0"/>
      <w:jc w:val="left"/>
    </w:pPr>
    <w:rPr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F3EA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F3EA3"/>
  </w:style>
  <w:style w:type="character" w:customStyle="1" w:styleId="CommentSubjectChar">
    <w:name w:val="Comment Subject Char"/>
    <w:basedOn w:val="CommentTextChar"/>
    <w:link w:val="CommentSubject"/>
    <w:rsid w:val="003F3EA3"/>
  </w:style>
  <w:style w:type="paragraph" w:styleId="Revision">
    <w:name w:val="Revision"/>
    <w:hidden/>
    <w:uiPriority w:val="99"/>
    <w:semiHidden/>
    <w:rsid w:val="00165E0F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523"/>
    <w:rPr>
      <w:color w:val="605E5C"/>
      <w:shd w:val="clear" w:color="auto" w:fill="E1DFDD"/>
    </w:rPr>
  </w:style>
  <w:style w:type="table" w:styleId="TableGrid">
    <w:name w:val="Table Grid"/>
    <w:basedOn w:val="TableNormal"/>
    <w:rsid w:val="00E1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140F81"/>
    <w:pPr>
      <w:widowControl w:val="0"/>
      <w:autoSpaceDE w:val="0"/>
      <w:autoSpaceDN w:val="0"/>
      <w:jc w:val="left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140F81"/>
    <w:rPr>
      <w:sz w:val="24"/>
      <w:szCs w:val="24"/>
      <w:lang w:val="en-US" w:eastAsia="en-US"/>
    </w:rPr>
  </w:style>
  <w:style w:type="character" w:customStyle="1" w:styleId="markedcontent">
    <w:name w:val="markedcontent"/>
    <w:basedOn w:val="DefaultParagraphFont"/>
    <w:rsid w:val="00ED0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CA974-0782-4833-B871-C70EBC6D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SAGEEP Abstract Template</vt:lpstr>
      <vt:lpstr>SAGEEP Abstract Template</vt:lpstr>
    </vt:vector>
  </TitlesOfParts>
  <Manager/>
  <Company/>
  <LinksUpToDate>false</LinksUpToDate>
  <CharactersWithSpaces>2294</CharactersWithSpaces>
  <SharedDoc>false</SharedDoc>
  <HLinks>
    <vt:vector size="36" baseType="variant">
      <vt:variant>
        <vt:i4>3276802</vt:i4>
      </vt:variant>
      <vt:variant>
        <vt:i4>9</vt:i4>
      </vt:variant>
      <vt:variant>
        <vt:i4>0</vt:i4>
      </vt:variant>
      <vt:variant>
        <vt:i4>5</vt:i4>
      </vt:variant>
      <vt:variant>
        <vt:lpwstr>mailto:aparseki@uwyo.edu</vt:lpwstr>
      </vt:variant>
      <vt:variant>
        <vt:lpwstr/>
      </vt:variant>
      <vt:variant>
        <vt:i4>2228327</vt:i4>
      </vt:variant>
      <vt:variant>
        <vt:i4>6</vt:i4>
      </vt:variant>
      <vt:variant>
        <vt:i4>0</vt:i4>
      </vt:variant>
      <vt:variant>
        <vt:i4>5</vt:i4>
      </vt:variant>
      <vt:variant>
        <vt:lpwstr>https://enengs.memberclicks.net/sageep-2018-sessions-abstracts</vt:lpwstr>
      </vt:variant>
      <vt:variant>
        <vt:lpwstr/>
      </vt:variant>
      <vt:variant>
        <vt:i4>2621550</vt:i4>
      </vt:variant>
      <vt:variant>
        <vt:i4>3</vt:i4>
      </vt:variant>
      <vt:variant>
        <vt:i4>0</vt:i4>
      </vt:variant>
      <vt:variant>
        <vt:i4>5</vt:i4>
      </vt:variant>
      <vt:variant>
        <vt:lpwstr>http://www.adobe.com/products/acrobat/adobepdf.html</vt:lpwstr>
      </vt:variant>
      <vt:variant>
        <vt:lpwstr/>
      </vt:variant>
      <vt:variant>
        <vt:i4>7077927</vt:i4>
      </vt:variant>
      <vt:variant>
        <vt:i4>0</vt:i4>
      </vt:variant>
      <vt:variant>
        <vt:i4>0</vt:i4>
      </vt:variant>
      <vt:variant>
        <vt:i4>5</vt:i4>
      </vt:variant>
      <vt:variant>
        <vt:lpwstr>https://www.xcdsystem.com/sageep/abstract/index.cfm?ID=EFE4e5i</vt:lpwstr>
      </vt:variant>
      <vt:variant>
        <vt:lpwstr/>
      </vt:variant>
      <vt:variant>
        <vt:i4>5898318</vt:i4>
      </vt:variant>
      <vt:variant>
        <vt:i4>3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  <vt:variant>
        <vt:i4>5898318</vt:i4>
      </vt:variant>
      <vt:variant>
        <vt:i4>0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SAGEEP Abstract Template</dc:title>
  <dc:subject/>
  <dc:creator/>
  <cp:keywords>EEGS, SAGEEP</cp:keywords>
  <cp:lastModifiedBy/>
  <cp:revision>1</cp:revision>
  <dcterms:created xsi:type="dcterms:W3CDTF">2022-12-20T18:42:00Z</dcterms:created>
  <dcterms:modified xsi:type="dcterms:W3CDTF">2022-12-20T18:42:00Z</dcterms:modified>
</cp:coreProperties>
</file>