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B53CE" w:rsidRDefault="00B70BB0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mallCaps/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>m</w:t>
      </w:r>
      <w:r>
        <w:rPr>
          <w:b/>
          <w:smallCaps/>
          <w:color w:val="000000"/>
          <w:sz w:val="28"/>
          <w:szCs w:val="28"/>
        </w:rPr>
        <w:t xml:space="preserve">apping </w:t>
      </w:r>
      <w:r>
        <w:rPr>
          <w:b/>
          <w:smallCaps/>
          <w:sz w:val="28"/>
          <w:szCs w:val="28"/>
        </w:rPr>
        <w:t>ancient structures</w:t>
      </w:r>
      <w:r>
        <w:rPr>
          <w:b/>
          <w:smallCaps/>
          <w:color w:val="000000"/>
          <w:sz w:val="28"/>
          <w:szCs w:val="28"/>
        </w:rPr>
        <w:t xml:space="preserve"> and demonstrating archaeological geophysics at </w:t>
      </w:r>
      <w:proofErr w:type="spellStart"/>
      <w:r>
        <w:rPr>
          <w:b/>
          <w:smallCaps/>
          <w:sz w:val="28"/>
          <w:szCs w:val="28"/>
        </w:rPr>
        <w:t>h</w:t>
      </w:r>
      <w:r>
        <w:rPr>
          <w:b/>
          <w:smallCaps/>
          <w:color w:val="000000"/>
          <w:sz w:val="28"/>
          <w:szCs w:val="28"/>
        </w:rPr>
        <w:t>uacas</w:t>
      </w:r>
      <w:proofErr w:type="spellEnd"/>
      <w:r>
        <w:rPr>
          <w:b/>
          <w:smallCaps/>
          <w:color w:val="000000"/>
          <w:sz w:val="28"/>
          <w:szCs w:val="28"/>
        </w:rPr>
        <w:t xml:space="preserve"> de </w:t>
      </w:r>
      <w:proofErr w:type="spellStart"/>
      <w:r>
        <w:rPr>
          <w:b/>
          <w:smallCaps/>
          <w:color w:val="000000"/>
          <w:sz w:val="28"/>
          <w:szCs w:val="28"/>
        </w:rPr>
        <w:t>moche</w:t>
      </w:r>
      <w:proofErr w:type="spellEnd"/>
      <w:r>
        <w:rPr>
          <w:b/>
          <w:smallCaps/>
          <w:sz w:val="28"/>
          <w:szCs w:val="28"/>
        </w:rPr>
        <w:t>,</w:t>
      </w:r>
      <w:r>
        <w:rPr>
          <w:b/>
          <w:smallCaps/>
          <w:color w:val="000000"/>
          <w:sz w:val="28"/>
          <w:szCs w:val="28"/>
        </w:rPr>
        <w:t xml:space="preserve"> </w:t>
      </w:r>
      <w:proofErr w:type="spellStart"/>
      <w:r>
        <w:rPr>
          <w:b/>
          <w:smallCaps/>
          <w:color w:val="000000"/>
          <w:sz w:val="28"/>
          <w:szCs w:val="28"/>
        </w:rPr>
        <w:t>peru</w:t>
      </w:r>
      <w:proofErr w:type="spellEnd"/>
    </w:p>
    <w:p w14:paraId="00000002" w14:textId="77777777" w:rsidR="001B53CE" w:rsidRDefault="001B53C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1B53CE" w:rsidRDefault="00B70BB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Jared Low, Colorado School of Mines, Golden, CO, USA</w:t>
      </w:r>
    </w:p>
    <w:p w14:paraId="00000004" w14:textId="77777777" w:rsidR="001B53CE" w:rsidRDefault="00B70BB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Richard </w:t>
      </w:r>
      <w:proofErr w:type="spellStart"/>
      <w:r>
        <w:rPr>
          <w:i/>
          <w:color w:val="000000"/>
        </w:rPr>
        <w:t>Krahenbuhl</w:t>
      </w:r>
      <w:proofErr w:type="spellEnd"/>
      <w:r>
        <w:rPr>
          <w:i/>
          <w:color w:val="000000"/>
        </w:rPr>
        <w:t>, Colorado School of Mines, Golden, CO, USA</w:t>
      </w:r>
    </w:p>
    <w:p w14:paraId="00000005" w14:textId="77777777" w:rsidR="001B53CE" w:rsidRDefault="00B70BB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Jeffrey </w:t>
      </w:r>
      <w:proofErr w:type="spellStart"/>
      <w:r>
        <w:rPr>
          <w:i/>
          <w:color w:val="000000"/>
        </w:rPr>
        <w:t>Shragge</w:t>
      </w:r>
      <w:proofErr w:type="spellEnd"/>
      <w:r>
        <w:rPr>
          <w:i/>
          <w:color w:val="000000"/>
        </w:rPr>
        <w:t>, Colorado School of Mines, Golden, CO, USA</w:t>
      </w:r>
    </w:p>
    <w:p w14:paraId="00000006" w14:textId="77777777" w:rsidR="001B53CE" w:rsidRDefault="00B70BB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 xml:space="preserve">Carlos </w:t>
      </w:r>
      <w:proofErr w:type="spellStart"/>
      <w:r>
        <w:rPr>
          <w:i/>
          <w:color w:val="000000"/>
        </w:rPr>
        <w:t>Rengifo</w:t>
      </w:r>
      <w:proofErr w:type="spellEnd"/>
      <w:r>
        <w:rPr>
          <w:i/>
          <w:color w:val="000000"/>
        </w:rPr>
        <w:t>, Universidad Nacional de Trujillo (UNT), Trujillo, Peru</w:t>
      </w:r>
    </w:p>
    <w:p w14:paraId="00000007" w14:textId="77777777" w:rsidR="001B53CE" w:rsidRDefault="00B70BB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Michele L. Koons, Denver Museum of Nature &amp; Science (DMNS), Denv</w:t>
      </w:r>
      <w:r>
        <w:rPr>
          <w:i/>
          <w:color w:val="000000"/>
        </w:rPr>
        <w:t>er, CO, USA</w:t>
      </w:r>
    </w:p>
    <w:p w14:paraId="00000008" w14:textId="77777777" w:rsidR="001B53CE" w:rsidRDefault="00B70BB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Alexander Vega, Universidad Nacional de Trujillo (UNT), Trujillo, Peru</w:t>
      </w:r>
    </w:p>
    <w:p w14:paraId="00000009" w14:textId="77777777" w:rsidR="001B53CE" w:rsidRDefault="001B53C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</w:p>
    <w:p w14:paraId="0000000A" w14:textId="77777777" w:rsidR="001B53CE" w:rsidRDefault="001B53C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77777777" w:rsidR="001B53CE" w:rsidRDefault="001B53CE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C" w14:textId="77777777" w:rsidR="001B53CE" w:rsidRDefault="00B70BB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Researchers at the Colorado School of Mines (MINES), the Universidad Nacional de Trujillo (UNT) and the Denver Museum of Nature &amp; Science (DMNS) are collaborating in a multi-phase project to explore the application of geophysics in aiding archaeological in</w:t>
      </w:r>
      <w:r>
        <w:t xml:space="preserve">vestigations and economic site development at </w:t>
      </w:r>
      <w:proofErr w:type="spellStart"/>
      <w:r>
        <w:t>Huacas</w:t>
      </w:r>
      <w:proofErr w:type="spellEnd"/>
      <w:r>
        <w:t xml:space="preserve"> de Moche near Trujillo, Peru.</w:t>
      </w:r>
    </w:p>
    <w:p w14:paraId="0000000D" w14:textId="77777777" w:rsidR="001B53CE" w:rsidRDefault="00B70BB0">
      <w:pPr>
        <w:pBdr>
          <w:top w:val="nil"/>
          <w:left w:val="nil"/>
          <w:bottom w:val="nil"/>
          <w:right w:val="nil"/>
          <w:between w:val="nil"/>
        </w:pBdr>
        <w:ind w:firstLine="720"/>
      </w:pPr>
      <w:proofErr w:type="spellStart"/>
      <w:r>
        <w:t>Huacas</w:t>
      </w:r>
      <w:proofErr w:type="spellEnd"/>
      <w:r>
        <w:t xml:space="preserve"> de Moche is the largest archaeological site pertaining to the Moche culture (ca. 200-850 CE) of the north coast of Peru. The site consists of two </w:t>
      </w:r>
      <w:proofErr w:type="gramStart"/>
      <w:r>
        <w:t>massive monumental</w:t>
      </w:r>
      <w:proofErr w:type="gramEnd"/>
      <w:r>
        <w:t xml:space="preserve"> s</w:t>
      </w:r>
      <w:r>
        <w:t xml:space="preserve">tructures, locally known as </w:t>
      </w:r>
      <w:proofErr w:type="spellStart"/>
      <w:r>
        <w:rPr>
          <w:i/>
        </w:rPr>
        <w:t>huacas</w:t>
      </w:r>
      <w:proofErr w:type="spellEnd"/>
      <w:r>
        <w:t>, that likely</w:t>
      </w:r>
      <w:r>
        <w:rPr>
          <w:i/>
        </w:rPr>
        <w:t xml:space="preserve"> </w:t>
      </w:r>
      <w:r>
        <w:t xml:space="preserve">served administrative, religious, and ceremonial purposes. Between the two </w:t>
      </w:r>
      <w:proofErr w:type="spellStart"/>
      <w:r>
        <w:rPr>
          <w:i/>
        </w:rPr>
        <w:t>huacas</w:t>
      </w:r>
      <w:proofErr w:type="spellEnd"/>
      <w:r>
        <w:t xml:space="preserve"> existed a sprawling urban center containing numerous canals, dwellings, </w:t>
      </w:r>
      <w:proofErr w:type="gramStart"/>
      <w:r>
        <w:t>workshops</w:t>
      </w:r>
      <w:proofErr w:type="gramEnd"/>
      <w:r>
        <w:t xml:space="preserve"> and unique platform structures. At its heigh</w:t>
      </w:r>
      <w:r>
        <w:t xml:space="preserve">t, the site extended 250 acres. Multiple phases of occupation in the urban center from the Moche period through the later </w:t>
      </w:r>
      <w:proofErr w:type="spellStart"/>
      <w:r>
        <w:t>Chimu</w:t>
      </w:r>
      <w:proofErr w:type="spellEnd"/>
      <w:r>
        <w:t xml:space="preserve"> period (ca. 1000-1470) resulted in various superimposed walls, features, and floors, many of which can be mapped using various g</w:t>
      </w:r>
      <w:r>
        <w:t xml:space="preserve">eophysical techniques. Since 1991, the </w:t>
      </w:r>
      <w:proofErr w:type="spellStart"/>
      <w:r>
        <w:t>Huacas</w:t>
      </w:r>
      <w:proofErr w:type="spellEnd"/>
      <w:r>
        <w:t xml:space="preserve"> de Moche Archaeological Project has been extensively studying the site, which continues to yield important information on the archaeology of the region.</w:t>
      </w:r>
    </w:p>
    <w:p w14:paraId="0000000E" w14:textId="77777777" w:rsidR="001B53CE" w:rsidRDefault="00B70BB0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rPr>
          <w:color w:val="000000"/>
        </w:rPr>
        <w:t xml:space="preserve"> </w:t>
      </w:r>
      <w:r>
        <w:t>Geophysics is a non-intrusive, non-destructive, and effe</w:t>
      </w:r>
      <w:r>
        <w:t xml:space="preserve">ctive way to map subsurface archaeological features such as the mud-brick structures at the </w:t>
      </w:r>
      <w:proofErr w:type="spellStart"/>
      <w:r>
        <w:t>Huacas</w:t>
      </w:r>
      <w:proofErr w:type="spellEnd"/>
      <w:r>
        <w:t xml:space="preserve"> de Moche. Phase I of the seed project </w:t>
      </w:r>
      <w:r>
        <w:rPr>
          <w:color w:val="000000"/>
        </w:rPr>
        <w:t xml:space="preserve">conducted in the summer of </w:t>
      </w:r>
      <w:proofErr w:type="gramStart"/>
      <w:r>
        <w:rPr>
          <w:color w:val="000000"/>
        </w:rPr>
        <w:t>2022,</w:t>
      </w:r>
      <w:proofErr w:type="gramEnd"/>
      <w:r>
        <w:rPr>
          <w:color w:val="000000"/>
        </w:rPr>
        <w:t xml:space="preserve"> effectively demonstrated the potential for magnetics, frequency-domain electromagnetic</w:t>
      </w:r>
      <w:r>
        <w:rPr>
          <w:color w:val="000000"/>
        </w:rPr>
        <w:t>s, and ground penetrating radar (GPR) to aid in archaeological feature detection at the site. Magnetic maps, electromagnetic maps, and GPR depth slices reveal subsurface walls, floors, and burials throughout feature-rich survey areas. Detected features cor</w:t>
      </w:r>
      <w:r>
        <w:rPr>
          <w:color w:val="000000"/>
        </w:rPr>
        <w:t>relate laterally with a drone-generated digital terrain model where extremely subtle topographic changes suggest</w:t>
      </w:r>
      <w:r>
        <w:t xml:space="preserve"> avenues and structure corners</w:t>
      </w:r>
      <w:r>
        <w:rPr>
          <w:color w:val="000000"/>
        </w:rPr>
        <w:t xml:space="preserve">. </w:t>
      </w:r>
      <w:r>
        <w:t>Opportunely</w:t>
      </w:r>
      <w:r>
        <w:rPr>
          <w:color w:val="000000"/>
        </w:rPr>
        <w:t>, recent</w:t>
      </w:r>
      <w:r>
        <w:t xml:space="preserve"> excavations in an area surveyed with these geophysical methods enabled examination of their </w:t>
      </w:r>
      <w:r>
        <w:t>contribution. Th</w:t>
      </w:r>
      <w:r>
        <w:rPr>
          <w:color w:val="000000"/>
        </w:rPr>
        <w:t xml:space="preserve">e </w:t>
      </w:r>
      <w:r>
        <w:t>processed results and interpretations are directly seen and verified from such excavations.</w:t>
      </w:r>
    </w:p>
    <w:p w14:paraId="0000000F" w14:textId="77777777" w:rsidR="001B53CE" w:rsidRDefault="00B70BB0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 xml:space="preserve">Following the success and lessons learned from the seed project, Phase II expands the geophysical investigations at the </w:t>
      </w:r>
      <w:proofErr w:type="spellStart"/>
      <w:r>
        <w:rPr>
          <w:color w:val="000000"/>
        </w:rPr>
        <w:t>Huacas</w:t>
      </w:r>
      <w:proofErr w:type="spellEnd"/>
      <w:r>
        <w:rPr>
          <w:color w:val="000000"/>
        </w:rPr>
        <w:t xml:space="preserve"> de Moche in detail </w:t>
      </w:r>
      <w:r>
        <w:rPr>
          <w:color w:val="000000"/>
        </w:rPr>
        <w:t xml:space="preserve">and extent. In this presentation, we describe the survey areas and designs with </w:t>
      </w:r>
      <w:proofErr w:type="gramStart"/>
      <w:r>
        <w:rPr>
          <w:color w:val="000000"/>
        </w:rPr>
        <w:t>considerations</w:t>
      </w:r>
      <w:proofErr w:type="gramEnd"/>
      <w:r>
        <w:rPr>
          <w:color w:val="000000"/>
        </w:rPr>
        <w:t xml:space="preserve"> to the complex site history. We then discuss the initial interpretations of the data as well as geophysical anomalies that align with the recent excavation disco</w:t>
      </w:r>
      <w:r>
        <w:rPr>
          <w:color w:val="000000"/>
        </w:rPr>
        <w:t>veries. Phase II will also be outlined to highlight challenges and improvements from the Phase I archaeological geophysical investigation.</w:t>
      </w:r>
    </w:p>
    <w:p w14:paraId="00000010" w14:textId="77777777" w:rsidR="001B53CE" w:rsidRDefault="001B53C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</w:p>
    <w:p w14:paraId="00000011" w14:textId="77777777" w:rsidR="001B53CE" w:rsidRDefault="001B53CE">
      <w:pPr>
        <w:rPr>
          <w:color w:val="000000"/>
        </w:rPr>
      </w:pPr>
    </w:p>
    <w:sectPr w:rsidR="001B53CE">
      <w:headerReference w:type="default" r:id="rId7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03CD" w14:textId="77777777" w:rsidR="00000000" w:rsidRDefault="00B70BB0">
      <w:r>
        <w:separator/>
      </w:r>
    </w:p>
  </w:endnote>
  <w:endnote w:type="continuationSeparator" w:id="0">
    <w:p w14:paraId="077129C8" w14:textId="77777777" w:rsidR="00000000" w:rsidRDefault="00B7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51E94" w14:textId="77777777" w:rsidR="00000000" w:rsidRDefault="00B70BB0">
      <w:r>
        <w:separator/>
      </w:r>
    </w:p>
  </w:footnote>
  <w:footnote w:type="continuationSeparator" w:id="0">
    <w:p w14:paraId="50FD9686" w14:textId="77777777" w:rsidR="00000000" w:rsidRDefault="00B70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1B53CE" w:rsidRDefault="001B53C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CE"/>
    <w:rsid w:val="001B53CE"/>
    <w:rsid w:val="00B7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1A42EA-BE57-43AD-97F3-6DA5CA4F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lMnvcMwM2YUT/m/pMdDDDX5GpA==">AMUW2mXPkGbtO3rFGhfWZGT+kWLClEzT+Kn4TMuFaOFieSEnOBmBhH1NO8trnJ/9EUIMs7S0JVclcXrPS0xWf/9gzY6VStqfr2dU8oITsE696el8TGCc9W8=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Koons</dc:creator>
  <cp:lastModifiedBy>Jackie Jacoby</cp:lastModifiedBy>
  <cp:revision>2</cp:revision>
  <dcterms:created xsi:type="dcterms:W3CDTF">2022-12-19T18:07:00Z</dcterms:created>
  <dcterms:modified xsi:type="dcterms:W3CDTF">2022-12-19T18:07:00Z</dcterms:modified>
</cp:coreProperties>
</file>